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28DB8B41" w14:textId="77777777" w:rsidR="00E361C9" w:rsidRDefault="00E361C9" w:rsidP="00E361C9">
      <w:pPr>
        <w:pStyle w:val="berschrift1"/>
      </w:pPr>
      <w:r>
        <w:t>Ausblick, Ausblick, Ausblick</w:t>
      </w:r>
    </w:p>
    <w:p w14:paraId="0B6D4A5E" w14:textId="50DBAA91" w:rsidR="000575F4" w:rsidRDefault="00447A63" w:rsidP="00600C45">
      <w:pPr>
        <w:pStyle w:val="berschrift2"/>
        <w:rPr>
          <w:sz w:val="24"/>
        </w:rPr>
      </w:pPr>
      <w:r>
        <w:rPr>
          <w:sz w:val="24"/>
        </w:rPr>
        <w:t xml:space="preserve">Zwei neue </w:t>
      </w:r>
      <w:r w:rsidR="00ED0417" w:rsidRPr="00ED0417">
        <w:rPr>
          <w:sz w:val="24"/>
        </w:rPr>
        <w:t>Panoramastraßen</w:t>
      </w:r>
      <w:r w:rsidR="00ED0417">
        <w:rPr>
          <w:sz w:val="24"/>
        </w:rPr>
        <w:t xml:space="preserve"> </w:t>
      </w:r>
      <w:r>
        <w:rPr>
          <w:sz w:val="24"/>
        </w:rPr>
        <w:t xml:space="preserve">vollenden </w:t>
      </w:r>
      <w:r w:rsidRPr="00ED0417">
        <w:rPr>
          <w:sz w:val="24"/>
        </w:rPr>
        <w:t>1400 Kilometer</w:t>
      </w:r>
      <w:r w:rsidR="00085A47">
        <w:rPr>
          <w:sz w:val="24"/>
        </w:rPr>
        <w:t xml:space="preserve"> </w:t>
      </w:r>
      <w:r w:rsidR="003C561E">
        <w:rPr>
          <w:sz w:val="24"/>
        </w:rPr>
        <w:t>Traumr</w:t>
      </w:r>
      <w:r w:rsidR="00085A47">
        <w:rPr>
          <w:sz w:val="24"/>
        </w:rPr>
        <w:t>outen</w:t>
      </w:r>
      <w:r w:rsidR="003C561E" w:rsidRPr="003C561E">
        <w:rPr>
          <w:sz w:val="24"/>
        </w:rPr>
        <w:t xml:space="preserve"> </w:t>
      </w:r>
      <w:r w:rsidR="003C561E">
        <w:rPr>
          <w:sz w:val="24"/>
        </w:rPr>
        <w:t xml:space="preserve">in </w:t>
      </w:r>
      <w:bookmarkStart w:id="0" w:name="_GoBack"/>
      <w:bookmarkEnd w:id="0"/>
      <w:r w:rsidR="003C561E">
        <w:rPr>
          <w:sz w:val="24"/>
        </w:rPr>
        <w:t>Montenegro</w:t>
      </w:r>
    </w:p>
    <w:p w14:paraId="2C234042" w14:textId="0FF7AA33" w:rsidR="00E361C9" w:rsidRPr="00EF7E42" w:rsidRDefault="00E361C9" w:rsidP="00E361C9">
      <w:pPr>
        <w:pStyle w:val="Bildunterschrift"/>
        <w:jc w:val="left"/>
      </w:pPr>
      <w:r>
        <w:rPr>
          <w:noProof/>
        </w:rPr>
        <w:drawing>
          <wp:inline distT="0" distB="0" distL="0" distR="0" wp14:anchorId="759113CC" wp14:editId="130C9773">
            <wp:extent cx="5760720" cy="3845560"/>
            <wp:effectExtent l="0" t="0" r="508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tor-Serpenti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5560"/>
                    </a:xfrm>
                    <a:prstGeom prst="rect">
                      <a:avLst/>
                    </a:prstGeom>
                  </pic:spPr>
                </pic:pic>
              </a:graphicData>
            </a:graphic>
          </wp:inline>
        </w:drawing>
      </w:r>
      <w:r w:rsidRPr="00E361C9">
        <w:t xml:space="preserve"> </w:t>
      </w:r>
      <w:r w:rsidR="00FA05AA">
        <w:t xml:space="preserve">Ein Highlight der neuen </w:t>
      </w:r>
      <w:r>
        <w:t>Panoramastraße</w:t>
      </w:r>
      <w:r w:rsidR="00FA05AA">
        <w:t xml:space="preserve"> „More i </w:t>
      </w:r>
      <w:proofErr w:type="spellStart"/>
      <w:r w:rsidR="00FA05AA">
        <w:t>visine</w:t>
      </w:r>
      <w:proofErr w:type="spellEnd"/>
      <w:r w:rsidR="00FA05AA">
        <w:t xml:space="preserve">“ in Montenegro ist der Blick hinunter zum </w:t>
      </w:r>
      <w:proofErr w:type="spellStart"/>
      <w:r w:rsidR="00FA05AA">
        <w:t>Unesco</w:t>
      </w:r>
      <w:proofErr w:type="spellEnd"/>
      <w:r w:rsidR="00FA05AA">
        <w:t>-Welterbe Kotor, am südlichsten Fjord Europas.</w:t>
      </w:r>
      <w:r w:rsidRPr="00EF7E42">
        <w:br/>
        <w:t xml:space="preserve">Foto: </w:t>
      </w:r>
      <w:r w:rsidR="00FA05AA">
        <w:t>Jovan</w:t>
      </w:r>
      <w:r w:rsidR="00B22C60">
        <w:t xml:space="preserve"> Nikolic</w:t>
      </w:r>
    </w:p>
    <w:p w14:paraId="63746E17" w14:textId="0A085E18" w:rsidR="001F5500" w:rsidRDefault="001F5500" w:rsidP="001F5500">
      <w:pPr>
        <w:pStyle w:val="Intro0"/>
      </w:pPr>
      <w:r w:rsidRPr="00730A4A">
        <w:rPr>
          <w:b w:val="0"/>
        </w:rPr>
        <w:t xml:space="preserve">Podgorica, </w:t>
      </w:r>
      <w:r w:rsidR="00ED0417">
        <w:rPr>
          <w:b w:val="0"/>
        </w:rPr>
        <w:t>11</w:t>
      </w:r>
      <w:r w:rsidRPr="00730A4A">
        <w:rPr>
          <w:b w:val="0"/>
        </w:rPr>
        <w:t xml:space="preserve">. </w:t>
      </w:r>
      <w:r w:rsidR="00ED1E5E">
        <w:rPr>
          <w:b w:val="0"/>
        </w:rPr>
        <w:t>Januar</w:t>
      </w:r>
      <w:r w:rsidRPr="00730A4A">
        <w:rPr>
          <w:b w:val="0"/>
        </w:rPr>
        <w:t xml:space="preserve"> 20</w:t>
      </w:r>
      <w:r w:rsidR="00ED1E5E">
        <w:rPr>
          <w:b w:val="0"/>
        </w:rPr>
        <w:t>20</w:t>
      </w:r>
      <w:r w:rsidRPr="00730A4A">
        <w:rPr>
          <w:b w:val="0"/>
        </w:rPr>
        <w:t>.</w:t>
      </w:r>
      <w:r w:rsidRPr="00EF7E42">
        <w:t xml:space="preserve"> </w:t>
      </w:r>
      <w:r w:rsidR="0041032A">
        <w:t xml:space="preserve">Das Ministerium für nachhaltige Entwicklung und Tourismus von </w:t>
      </w:r>
      <w:r>
        <w:t>Montenegro</w:t>
      </w:r>
      <w:r w:rsidR="00ED1E5E">
        <w:t xml:space="preserve"> </w:t>
      </w:r>
      <w:r w:rsidR="0041032A">
        <w:t>hat die Beschilderung der</w:t>
      </w:r>
      <w:r w:rsidR="004E3B2D">
        <w:t xml:space="preserve"> Panoramastraßen </w:t>
      </w:r>
      <w:r w:rsidR="0041032A">
        <w:t>des Landes abgeschlossen.</w:t>
      </w:r>
      <w:r w:rsidR="00447A63">
        <w:t xml:space="preserve"> Die </w:t>
      </w:r>
      <w:r w:rsidR="009E3830">
        <w:t xml:space="preserve">beiden </w:t>
      </w:r>
      <w:r w:rsidR="00447A63">
        <w:t xml:space="preserve">neuen Routen </w:t>
      </w:r>
      <w:r w:rsidR="00447A63" w:rsidRPr="00447A63">
        <w:t>„</w:t>
      </w:r>
      <w:r w:rsidR="009E3830">
        <w:t>Die Krone von Montenegro</w:t>
      </w:r>
      <w:r w:rsidR="00447A63" w:rsidRPr="00447A63">
        <w:t xml:space="preserve">“ </w:t>
      </w:r>
      <w:r w:rsidR="00447A63">
        <w:t>und „</w:t>
      </w:r>
      <w:r w:rsidR="009E3830">
        <w:t>Die Berge und das Meer</w:t>
      </w:r>
      <w:r w:rsidR="00447A63">
        <w:t xml:space="preserve">“ </w:t>
      </w:r>
      <w:r w:rsidR="009E3830">
        <w:t>vervollständigen das landesweite Netz der Ferienstraßen.</w:t>
      </w:r>
      <w:r w:rsidR="0041032A">
        <w:t xml:space="preserve"> Ab 2020 können Urlauber auf 1400 Kilometern das abwechslungsreiche Land an der Adriaküste entdecken</w:t>
      </w:r>
      <w:r w:rsidR="007E2A8C">
        <w:t>. Das Angebot</w:t>
      </w:r>
      <w:r w:rsidR="007E2A8C" w:rsidRPr="007E2A8C">
        <w:t xml:space="preserve"> richte</w:t>
      </w:r>
      <w:r w:rsidR="007E2A8C">
        <w:t>t</w:t>
      </w:r>
      <w:r w:rsidR="007E2A8C" w:rsidRPr="007E2A8C">
        <w:t xml:space="preserve"> sich an Touristen, die Montenegro mit dem Mietwagen, einem eigenen Auto, Motorrad oder Wohnmobil</w:t>
      </w:r>
      <w:r w:rsidR="007E2A8C">
        <w:t xml:space="preserve"> </w:t>
      </w:r>
      <w:r w:rsidR="007E2A8C" w:rsidRPr="007E2A8C">
        <w:t xml:space="preserve">auf eigene Faust erkunden wollen. </w:t>
      </w:r>
    </w:p>
    <w:p w14:paraId="7E60A4B7" w14:textId="3FD6806F" w:rsidR="00535984" w:rsidRDefault="00FA05AA" w:rsidP="00535984">
      <w:pPr>
        <w:pStyle w:val="Standard-Text"/>
      </w:pPr>
      <w:r w:rsidRPr="00FA05AA">
        <w:t>Die Viel</w:t>
      </w:r>
      <w:r w:rsidR="00F31E29">
        <w:t>fält</w:t>
      </w:r>
      <w:r w:rsidRPr="00FA05AA">
        <w:t xml:space="preserve">igkeit </w:t>
      </w:r>
      <w:r w:rsidR="00F31E29">
        <w:t>seiner</w:t>
      </w:r>
      <w:r w:rsidRPr="00FA05AA">
        <w:t xml:space="preserve"> Landschaft auf einer </w:t>
      </w:r>
      <w:r w:rsidR="009E3830">
        <w:t>relativ</w:t>
      </w:r>
      <w:r w:rsidRPr="00FA05AA">
        <w:t xml:space="preserve"> kleinen Fläche ist eines der Alleinstellungsmerkmale Montenegros. Kaum so groß wie Schleswig-Holstein</w:t>
      </w:r>
      <w:r w:rsidR="007E2A8C">
        <w:t>,</w:t>
      </w:r>
      <w:r w:rsidRPr="00FA05AA">
        <w:t xml:space="preserve"> </w:t>
      </w:r>
      <w:r>
        <w:t xml:space="preserve">beherbergt es </w:t>
      </w:r>
      <w:r>
        <w:lastRenderedPageBreak/>
        <w:t xml:space="preserve">Landschaftsformen für die Touristen sonst über den ganzen Kontinent, wenn nicht </w:t>
      </w:r>
      <w:r w:rsidR="00535984">
        <w:t xml:space="preserve">sogar </w:t>
      </w:r>
      <w:r>
        <w:t>den Globus reisen</w:t>
      </w:r>
      <w:r w:rsidR="00F31E29">
        <w:t xml:space="preserve"> würden</w:t>
      </w:r>
      <w:r>
        <w:t>. Um diesen Schatz erlebbar zu machen</w:t>
      </w:r>
      <w:r w:rsidR="00F31E29">
        <w:t>,</w:t>
      </w:r>
      <w:r w:rsidRPr="00FA05AA">
        <w:t xml:space="preserve"> </w:t>
      </w:r>
      <w:r>
        <w:t>hat das Ministerium für nachhaltige Entwicklung und Tourismus</w:t>
      </w:r>
      <w:r w:rsidR="00F31E29">
        <w:t xml:space="preserve"> vier </w:t>
      </w:r>
      <w:r w:rsidR="009E3830">
        <w:t>Panoramastraßen</w:t>
      </w:r>
      <w:r w:rsidR="00F31E29">
        <w:t xml:space="preserve"> entwickelt, die Touristen sicher zu den Höhepunkten des Landes führen. Neben den Hauptrouten sind auch Abstecher, Abkürzungen und Verbindungsrouten ausgeschildert, die zusammen ein Streckennetz von knapp 1400 Kilometern bilden. </w:t>
      </w:r>
      <w:r w:rsidR="00535984">
        <w:t xml:space="preserve">Insbesondere </w:t>
      </w:r>
      <w:r w:rsidR="00B22C60">
        <w:t xml:space="preserve">auf </w:t>
      </w:r>
      <w:r w:rsidR="00535984">
        <w:t>kleinere</w:t>
      </w:r>
      <w:r w:rsidR="00B22C60">
        <w:t>n</w:t>
      </w:r>
      <w:r w:rsidR="00535984">
        <w:t xml:space="preserve"> Nebenstraßen war</w:t>
      </w:r>
      <w:r w:rsidR="00B22C60">
        <w:t xml:space="preserve"> die Beschilderung</w:t>
      </w:r>
      <w:r w:rsidR="00535984">
        <w:t xml:space="preserve"> in der Vergangenheit für Touristen nicht ideal. </w:t>
      </w:r>
      <w:r w:rsidR="000703ED">
        <w:t>Nun lassen sich auch entlegene, aber für Urlauber interessante Gebiete individuell e</w:t>
      </w:r>
      <w:r w:rsidR="00B22C60">
        <w:t>rkunden</w:t>
      </w:r>
      <w:r w:rsidR="000703ED">
        <w:t xml:space="preserve">. </w:t>
      </w:r>
      <w:r w:rsidR="00535984">
        <w:t xml:space="preserve">Das Prinzip der </w:t>
      </w:r>
      <w:r w:rsidR="00B22C60">
        <w:t>Wegweiser</w:t>
      </w:r>
      <w:r w:rsidR="00535984">
        <w:t xml:space="preserve"> ist </w:t>
      </w:r>
      <w:r w:rsidR="000703ED">
        <w:t xml:space="preserve">dabei </w:t>
      </w:r>
      <w:r w:rsidR="00535984">
        <w:t xml:space="preserve">denkbar einfach: Auf den braunen Verkehrsschildern </w:t>
      </w:r>
      <w:r w:rsidR="000703ED">
        <w:t>ist,</w:t>
      </w:r>
      <w:r w:rsidR="00535984">
        <w:t xml:space="preserve"> </w:t>
      </w:r>
      <w:r w:rsidR="000703ED">
        <w:t>neben dem Logo der</w:t>
      </w:r>
      <w:r w:rsidR="00535984">
        <w:t xml:space="preserve"> Panoramastraßen</w:t>
      </w:r>
      <w:r w:rsidR="000703ED">
        <w:t>,</w:t>
      </w:r>
      <w:r w:rsidR="00535984">
        <w:t xml:space="preserve"> die jeweilige Nummer der Route </w:t>
      </w:r>
      <w:r w:rsidR="00B22C60">
        <w:t>zu finden</w:t>
      </w:r>
      <w:r w:rsidR="00535984">
        <w:t xml:space="preserve">. Verbindungsrouten und Abkürzungen </w:t>
      </w:r>
      <w:r w:rsidR="009E3830">
        <w:t>sind neben der</w:t>
      </w:r>
      <w:r w:rsidR="00535984">
        <w:t xml:space="preserve"> Nummer noch </w:t>
      </w:r>
      <w:r w:rsidR="009E3830">
        <w:t xml:space="preserve">mit </w:t>
      </w:r>
      <w:r w:rsidR="00535984">
        <w:t>eine</w:t>
      </w:r>
      <w:r w:rsidR="009E3830">
        <w:t>m</w:t>
      </w:r>
      <w:r w:rsidR="00535984">
        <w:t xml:space="preserve"> Buchstaben</w:t>
      </w:r>
      <w:r w:rsidR="009E3830">
        <w:t xml:space="preserve"> versehen</w:t>
      </w:r>
      <w:r w:rsidR="00535984">
        <w:t>, also z.</w:t>
      </w:r>
      <w:r w:rsidR="00E14B76">
        <w:rPr>
          <w:lang w:val="hr-HR"/>
        </w:rPr>
        <w:t> </w:t>
      </w:r>
      <w:r w:rsidR="00535984">
        <w:t>B. 1</w:t>
      </w:r>
      <w:r w:rsidR="000703ED">
        <w:t> </w:t>
      </w:r>
      <w:r w:rsidR="00535984">
        <w:t xml:space="preserve">A. </w:t>
      </w:r>
      <w:r w:rsidR="007E2A8C">
        <w:t>Alle Routen sind in beide Fahrtrichtungen ausgeschildert.</w:t>
      </w:r>
      <w:r w:rsidR="009E3830">
        <w:t xml:space="preserve"> Die Beschilderung der letzten beiden Strecken wurde nun abgeschlossen.</w:t>
      </w:r>
    </w:p>
    <w:p w14:paraId="6F9DB9DB" w14:textId="6DF27FF5" w:rsidR="00F34F89" w:rsidRPr="00493C02" w:rsidRDefault="00493C02" w:rsidP="00B22C60">
      <w:pPr>
        <w:pStyle w:val="Bildunterschrift"/>
        <w:jc w:val="left"/>
      </w:pPr>
      <w:r>
        <w:rPr>
          <w:noProof/>
        </w:rPr>
        <w:drawing>
          <wp:anchor distT="0" distB="0" distL="114300" distR="114300" simplePos="0" relativeHeight="251664384" behindDoc="0" locked="0" layoutInCell="1" allowOverlap="1" wp14:anchorId="2F1C7D2F" wp14:editId="6E01ACAD">
            <wp:simplePos x="0" y="0"/>
            <wp:positionH relativeFrom="column">
              <wp:posOffset>0</wp:posOffset>
            </wp:positionH>
            <wp:positionV relativeFrom="paragraph">
              <wp:posOffset>3175</wp:posOffset>
            </wp:positionV>
            <wp:extent cx="3749944" cy="2484255"/>
            <wp:effectExtent l="0" t="0" r="0"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una-Crne-G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9944" cy="2484255"/>
                    </a:xfrm>
                    <a:prstGeom prst="rect">
                      <a:avLst/>
                    </a:prstGeom>
                  </pic:spPr>
                </pic:pic>
              </a:graphicData>
            </a:graphic>
            <wp14:sizeRelH relativeFrom="page">
              <wp14:pctWidth>0</wp14:pctWidth>
            </wp14:sizeRelH>
            <wp14:sizeRelV relativeFrom="page">
              <wp14:pctHeight>0</wp14:pctHeight>
            </wp14:sizeRelV>
          </wp:anchor>
        </w:drawing>
      </w:r>
      <w:r w:rsidR="00F34F89">
        <w:t xml:space="preserve">Die Beschilderung der Panoramastraßen macht es Urlaubern leicht das Land auf eigene Faust zu </w:t>
      </w:r>
      <w:r w:rsidR="00F34F89" w:rsidRPr="003C762A">
        <w:t>entdecken</w:t>
      </w:r>
      <w:r w:rsidR="00F34F89">
        <w:t>.</w:t>
      </w:r>
      <w:r w:rsidR="00F34F89" w:rsidRPr="00F34F89">
        <w:t xml:space="preserve"> </w:t>
      </w:r>
      <w:r w:rsidR="00F34F89">
        <w:br/>
        <w:t xml:space="preserve">Foto: </w:t>
      </w:r>
      <w:r w:rsidR="00B22C60">
        <w:t>Jovan Nikolic</w:t>
      </w:r>
    </w:p>
    <w:p w14:paraId="2B7F6DFF" w14:textId="00EAAEAB" w:rsidR="00493C02" w:rsidRDefault="00493C02" w:rsidP="009042F6">
      <w:pPr>
        <w:pStyle w:val="Standard-Text"/>
        <w:rPr>
          <w:b/>
          <w:bCs/>
        </w:rPr>
      </w:pPr>
    </w:p>
    <w:p w14:paraId="463B772A" w14:textId="77777777" w:rsidR="00493C02" w:rsidRDefault="00493C02" w:rsidP="009042F6">
      <w:pPr>
        <w:pStyle w:val="Standard-Text"/>
        <w:rPr>
          <w:b/>
          <w:bCs/>
        </w:rPr>
      </w:pPr>
    </w:p>
    <w:p w14:paraId="1B0DC779" w14:textId="77777777" w:rsidR="00493C02" w:rsidRDefault="00493C02" w:rsidP="009042F6">
      <w:pPr>
        <w:pStyle w:val="Standard-Text"/>
        <w:rPr>
          <w:b/>
          <w:bCs/>
        </w:rPr>
      </w:pPr>
    </w:p>
    <w:p w14:paraId="6F2ECB84" w14:textId="77777777" w:rsidR="00493C02" w:rsidRDefault="00493C02" w:rsidP="009042F6">
      <w:pPr>
        <w:pStyle w:val="Standard-Text"/>
        <w:rPr>
          <w:b/>
          <w:bCs/>
        </w:rPr>
      </w:pPr>
    </w:p>
    <w:p w14:paraId="1CA4852F" w14:textId="77777777" w:rsidR="00493C02" w:rsidRDefault="00493C02" w:rsidP="009042F6">
      <w:pPr>
        <w:pStyle w:val="Standard-Text"/>
        <w:rPr>
          <w:b/>
          <w:bCs/>
        </w:rPr>
      </w:pPr>
    </w:p>
    <w:p w14:paraId="0DBCE773" w14:textId="77777777" w:rsidR="00493C02" w:rsidRDefault="00493C02" w:rsidP="009042F6">
      <w:pPr>
        <w:pStyle w:val="Standard-Text"/>
        <w:rPr>
          <w:b/>
          <w:bCs/>
        </w:rPr>
      </w:pPr>
    </w:p>
    <w:p w14:paraId="09FC1977" w14:textId="6E960EA6" w:rsidR="00F34F89" w:rsidRDefault="007E2A8C" w:rsidP="009042F6">
      <w:pPr>
        <w:pStyle w:val="Standard-Text"/>
        <w:rPr>
          <w:b/>
          <w:bCs/>
        </w:rPr>
      </w:pPr>
      <w:r w:rsidRPr="007E2A8C">
        <w:rPr>
          <w:b/>
          <w:bCs/>
        </w:rPr>
        <w:t>Die Krone Montenegros</w:t>
      </w:r>
    </w:p>
    <w:p w14:paraId="22CACFAE" w14:textId="5D9D1C14" w:rsidR="003C762A" w:rsidRDefault="00A564EC" w:rsidP="009042F6">
      <w:pPr>
        <w:pStyle w:val="Standard-Text"/>
      </w:pPr>
      <w:r>
        <w:t>Sie trägt zwar die Nummer eins, war</w:t>
      </w:r>
      <w:r w:rsidR="00F31E29">
        <w:t xml:space="preserve"> aber</w:t>
      </w:r>
      <w:r>
        <w:t xml:space="preserve"> eine der letzten Routen</w:t>
      </w:r>
      <w:r w:rsidR="00F70286">
        <w:t>,</w:t>
      </w:r>
      <w:r>
        <w:t xml:space="preserve"> die ausgeschildert wurde</w:t>
      </w:r>
      <w:r w:rsidR="00F31E29">
        <w:t>: „Die Krone von Montenegro“</w:t>
      </w:r>
      <w:r w:rsidR="00F70286">
        <w:t>,</w:t>
      </w:r>
      <w:r w:rsidR="00F31E29">
        <w:t xml:space="preserve"> oder „</w:t>
      </w:r>
      <w:proofErr w:type="spellStart"/>
      <w:r w:rsidR="00F31E29">
        <w:t>Kruna</w:t>
      </w:r>
      <w:proofErr w:type="spellEnd"/>
      <w:r w:rsidR="00F31E29">
        <w:t xml:space="preserve"> </w:t>
      </w:r>
      <w:proofErr w:type="spellStart"/>
      <w:r w:rsidR="00F31E29">
        <w:t>Crne</w:t>
      </w:r>
      <w:proofErr w:type="spellEnd"/>
      <w:r w:rsidR="00F31E29">
        <w:t xml:space="preserve"> Gore“ in Landessprache</w:t>
      </w:r>
      <w:r w:rsidR="00F70286">
        <w:t>,</w:t>
      </w:r>
      <w:r w:rsidR="00F31E29">
        <w:t xml:space="preserve"> führt von der Hauptstadt Podgorica in den bergreichen Norden des Landes. Mit 714 Kilometern ist </w:t>
      </w:r>
      <w:r w:rsidR="00B22C60">
        <w:t>es die</w:t>
      </w:r>
      <w:r w:rsidR="00F31E29">
        <w:t xml:space="preserve"> </w:t>
      </w:r>
      <w:r w:rsidR="00447A63">
        <w:t>L</w:t>
      </w:r>
      <w:r w:rsidR="00F31E29">
        <w:t xml:space="preserve">ängste </w:t>
      </w:r>
      <w:r w:rsidR="00447A63">
        <w:t xml:space="preserve">der vier </w:t>
      </w:r>
      <w:r w:rsidR="00F31E29">
        <w:t>Panoramastraße</w:t>
      </w:r>
      <w:r w:rsidR="00447A63">
        <w:t>n</w:t>
      </w:r>
      <w:r w:rsidR="00F31E29">
        <w:t xml:space="preserve">. Neben den Nationalparken Durmitor, </w:t>
      </w:r>
      <w:proofErr w:type="spellStart"/>
      <w:r w:rsidR="00F31E29">
        <w:t>Biogradska</w:t>
      </w:r>
      <w:proofErr w:type="spellEnd"/>
      <w:r w:rsidR="00F31E29">
        <w:t xml:space="preserve"> Gora und </w:t>
      </w:r>
      <w:proofErr w:type="spellStart"/>
      <w:r w:rsidR="00F31E29">
        <w:t>Prokletije</w:t>
      </w:r>
      <w:proofErr w:type="spellEnd"/>
      <w:r w:rsidR="00F31E29">
        <w:t xml:space="preserve"> können Reisende entlang der Strecke </w:t>
      </w:r>
      <w:r w:rsidR="00C675ED">
        <w:t xml:space="preserve">die 1300 Meter tiefe Tara-Schlucht bestaunen. Sie ist die tiefste Schlucht Europas und zählt zum </w:t>
      </w:r>
      <w:proofErr w:type="spellStart"/>
      <w:r w:rsidR="00C675ED">
        <w:t>Unesco</w:t>
      </w:r>
      <w:proofErr w:type="spellEnd"/>
      <w:r w:rsidR="00C675ED">
        <w:t xml:space="preserve">-Weltnaturerbe. </w:t>
      </w:r>
      <w:r w:rsidR="009E3830">
        <w:t>Außer</w:t>
      </w:r>
      <w:r w:rsidR="00F70286">
        <w:t xml:space="preserve"> der eindrucksvollen Landschaft gibt es a</w:t>
      </w:r>
      <w:r w:rsidR="0041032A">
        <w:t>uch kulturelle Sehenswürdigkeiten</w:t>
      </w:r>
      <w:r w:rsidR="00F70286">
        <w:t xml:space="preserve"> zu entdecken</w:t>
      </w:r>
      <w:r w:rsidR="0041032A">
        <w:t>, darunter zahlreiche Klöster</w:t>
      </w:r>
      <w:r w:rsidR="00F70286">
        <w:t xml:space="preserve"> wie das jährlich von Hunderttausenden Pilgern besuchte Kloster Ostrog.</w:t>
      </w:r>
    </w:p>
    <w:p w14:paraId="5032D368" w14:textId="77777777" w:rsidR="009E3830" w:rsidRDefault="009E3830" w:rsidP="009042F6">
      <w:pPr>
        <w:pStyle w:val="Standard-Text"/>
        <w:rPr>
          <w:b/>
          <w:bCs/>
        </w:rPr>
      </w:pPr>
    </w:p>
    <w:p w14:paraId="5225FA30" w14:textId="2309F619" w:rsidR="007E2A8C" w:rsidRPr="007E2A8C" w:rsidRDefault="007E2A8C" w:rsidP="009042F6">
      <w:pPr>
        <w:pStyle w:val="Standard-Text"/>
        <w:rPr>
          <w:b/>
          <w:bCs/>
        </w:rPr>
      </w:pPr>
      <w:r w:rsidRPr="007E2A8C">
        <w:rPr>
          <w:b/>
          <w:bCs/>
        </w:rPr>
        <w:lastRenderedPageBreak/>
        <w:t xml:space="preserve">Entlang der </w:t>
      </w:r>
      <w:r w:rsidR="00882898">
        <w:rPr>
          <w:b/>
          <w:bCs/>
        </w:rPr>
        <w:t>Adriak</w:t>
      </w:r>
      <w:r w:rsidRPr="007E2A8C">
        <w:rPr>
          <w:b/>
          <w:bCs/>
        </w:rPr>
        <w:t>üste</w:t>
      </w:r>
    </w:p>
    <w:p w14:paraId="339D1F58" w14:textId="3A6885A8" w:rsidR="0041032A" w:rsidRDefault="007E2A8C" w:rsidP="009042F6">
      <w:pPr>
        <w:pStyle w:val="Standard-Text"/>
      </w:pPr>
      <w:r>
        <w:t xml:space="preserve">Die 270 Kilometer lange Route „More i </w:t>
      </w:r>
      <w:proofErr w:type="spellStart"/>
      <w:r>
        <w:t>visine</w:t>
      </w:r>
      <w:proofErr w:type="spellEnd"/>
      <w:r>
        <w:t xml:space="preserve">“ verläuft entlang des montenegrinischen Küstengebirges und beinhaltet touristische Höhepunkte wie die Bucht von Kotor, </w:t>
      </w:r>
      <w:r w:rsidR="003C762A" w:rsidRPr="003C762A">
        <w:t xml:space="preserve">die Nationalparke Lovćen und Skadarsee </w:t>
      </w:r>
      <w:r w:rsidR="00447A63">
        <w:t>und</w:t>
      </w:r>
      <w:r w:rsidR="003C762A" w:rsidRPr="003C762A">
        <w:t xml:space="preserve"> das malerische</w:t>
      </w:r>
      <w:r w:rsidR="003C762A">
        <w:t xml:space="preserve"> Sveti Stefan</w:t>
      </w:r>
      <w:r>
        <w:t xml:space="preserve">. </w:t>
      </w:r>
      <w:r w:rsidR="003C762A">
        <w:t xml:space="preserve">Frei übersetzt bedeutet der Name „Die Berge und das Meer“ und von beidem gibt es </w:t>
      </w:r>
      <w:r w:rsidR="009E3830">
        <w:t xml:space="preserve">auf der Route </w:t>
      </w:r>
      <w:r w:rsidR="003C762A">
        <w:t xml:space="preserve">viel zu erleben. </w:t>
      </w:r>
      <w:r w:rsidR="00F70286">
        <w:t xml:space="preserve">Neben den mittelalterlichen Küstenstädten, wie </w:t>
      </w:r>
      <w:proofErr w:type="spellStart"/>
      <w:r w:rsidR="00F70286">
        <w:t>Budva</w:t>
      </w:r>
      <w:proofErr w:type="spellEnd"/>
      <w:r w:rsidR="00F70286">
        <w:t xml:space="preserve">, Bar </w:t>
      </w:r>
      <w:r w:rsidR="00447A63">
        <w:t>und</w:t>
      </w:r>
      <w:r w:rsidR="00F70286">
        <w:t xml:space="preserve"> </w:t>
      </w:r>
      <w:proofErr w:type="spellStart"/>
      <w:r w:rsidR="00F70286">
        <w:t>Ulcinj</w:t>
      </w:r>
      <w:proofErr w:type="spellEnd"/>
      <w:r w:rsidR="00E14B76">
        <w:t>,</w:t>
      </w:r>
      <w:r w:rsidR="00F70286">
        <w:t xml:space="preserve"> gehört d</w:t>
      </w:r>
      <w:r w:rsidR="003C762A">
        <w:t>ie alte Residenzstadt Cetinje</w:t>
      </w:r>
      <w:r w:rsidR="00F70286">
        <w:t>,</w:t>
      </w:r>
      <w:r w:rsidR="003C762A">
        <w:t xml:space="preserve"> mit </w:t>
      </w:r>
      <w:r w:rsidR="00E14B76">
        <w:t xml:space="preserve">ihren </w:t>
      </w:r>
      <w:r w:rsidR="003C762A">
        <w:t>zahlreichen Museen und historisch bedeutsamen Gebäuden</w:t>
      </w:r>
      <w:r w:rsidR="00E14B76">
        <w:t>, zu den kulturellen Höhepunkten entlang der Panoramastraße mit der Nummer drei.</w:t>
      </w:r>
    </w:p>
    <w:p w14:paraId="4DC3655F" w14:textId="4C814F9D" w:rsidR="007E2A8C" w:rsidRPr="007E2A8C" w:rsidRDefault="007E2A8C" w:rsidP="009042F6">
      <w:pPr>
        <w:pStyle w:val="Standard-Text"/>
        <w:rPr>
          <w:b/>
          <w:bCs/>
        </w:rPr>
      </w:pPr>
      <w:r w:rsidRPr="007E2A8C">
        <w:rPr>
          <w:b/>
          <w:bCs/>
        </w:rPr>
        <w:t xml:space="preserve">Landkarten und </w:t>
      </w:r>
      <w:proofErr w:type="spellStart"/>
      <w:r w:rsidRPr="007E2A8C">
        <w:rPr>
          <w:b/>
          <w:bCs/>
        </w:rPr>
        <w:t>Audioguides</w:t>
      </w:r>
      <w:proofErr w:type="spellEnd"/>
    </w:p>
    <w:p w14:paraId="1C7BF1CB" w14:textId="49108B5A" w:rsidR="00202E25" w:rsidRDefault="00493C02" w:rsidP="009042F6">
      <w:pPr>
        <w:pStyle w:val="Standard-Text"/>
      </w:pPr>
      <w:r>
        <w:t xml:space="preserve">„Die Runde über </w:t>
      </w:r>
      <w:proofErr w:type="spellStart"/>
      <w:r>
        <w:t>Korita</w:t>
      </w:r>
      <w:proofErr w:type="spellEnd"/>
      <w:r>
        <w:t xml:space="preserve">“ </w:t>
      </w:r>
      <w:r w:rsidR="00202E25">
        <w:t>war</w:t>
      </w:r>
      <w:r>
        <w:t xml:space="preserve"> 2015</w:t>
      </w:r>
      <w:r w:rsidR="00202E25">
        <w:t xml:space="preserve"> als Pilotprojekt und erste ausgeschilderte Panoramastraße gestartet</w:t>
      </w:r>
      <w:r>
        <w:t xml:space="preserve">. Die Tagestour führt von Podgorica in eine zuvor kaum von Touristen beachtete, aber landschaftlich eindrucksvolle Region Montenegros. </w:t>
      </w:r>
      <w:r w:rsidR="00202E25">
        <w:t xml:space="preserve">Bereits seit dem vergangenen Jahr ist außerdem die Panoramastraße Durmitor-Ring im Nordwesten des Landes ausgeschildert. </w:t>
      </w:r>
    </w:p>
    <w:p w14:paraId="542EF467" w14:textId="125C21DD" w:rsidR="00542A1D" w:rsidRDefault="00A564EC" w:rsidP="009042F6">
      <w:pPr>
        <w:pStyle w:val="Standard-Text"/>
      </w:pPr>
      <w:r>
        <w:t>Wer alle</w:t>
      </w:r>
      <w:r w:rsidR="00202E25">
        <w:t xml:space="preserve"> vier</w:t>
      </w:r>
      <w:r>
        <w:t xml:space="preserve"> Panoramastraßen Montenegros erkunden will, sollte zwei Wochen Zeit mitbringen.</w:t>
      </w:r>
      <w:r w:rsidR="007E2A8C">
        <w:t xml:space="preserve"> </w:t>
      </w:r>
      <w:r>
        <w:t xml:space="preserve">Für </w:t>
      </w:r>
      <w:r w:rsidR="007E2A8C">
        <w:t>sämtliche Routen</w:t>
      </w:r>
      <w:r>
        <w:t xml:space="preserve"> sind kostenlose Landkarten </w:t>
      </w:r>
      <w:r w:rsidR="007E2A8C">
        <w:t xml:space="preserve">bei den lokalen Tourist-Informationen </w:t>
      </w:r>
      <w:r>
        <w:t xml:space="preserve">verfügbar. „Die Runde über </w:t>
      </w:r>
      <w:proofErr w:type="spellStart"/>
      <w:r>
        <w:t>Korita</w:t>
      </w:r>
      <w:proofErr w:type="spellEnd"/>
      <w:r>
        <w:t xml:space="preserve">“ und der Durmitor-Ring warten zudem mit einem </w:t>
      </w:r>
      <w:r w:rsidR="00447A63">
        <w:t xml:space="preserve">kostenlosen </w:t>
      </w:r>
      <w:r>
        <w:t xml:space="preserve">GPS-gesteuerten Audioguide für das Smartphone auf. Dieser hält zahlreiche Informationen zu Land und Leuten sowie unterhaltsame Geschichten bereit. Ausführliche Informationen in deutscher Sprache werden unter </w:t>
      </w:r>
      <w:hyperlink r:id="rId10" w:history="1">
        <w:r w:rsidRPr="0082593C">
          <w:rPr>
            <w:rStyle w:val="Hyperlink"/>
          </w:rPr>
          <w:t>www.panoramastrassen.montenegro.travel</w:t>
        </w:r>
      </w:hyperlink>
      <w:r>
        <w:t xml:space="preserve"> angeboten.</w:t>
      </w:r>
    </w:p>
    <w:p w14:paraId="17BE7BB7" w14:textId="77777777" w:rsidR="00B57124" w:rsidRDefault="00B57124" w:rsidP="00B534F9">
      <w:pPr>
        <w:pStyle w:val="Kleingedrucktes"/>
      </w:pPr>
      <w:bookmarkStart w:id="1" w:name="_Toc507918018"/>
    </w:p>
    <w:p w14:paraId="02484718" w14:textId="2174C536" w:rsidR="00B02401" w:rsidRDefault="00B57124" w:rsidP="00B534F9">
      <w:pPr>
        <w:pStyle w:val="Kleingedrucktes"/>
      </w:pPr>
      <w:r>
        <w:t>Liste der Panoramastraßen Montenegros: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253"/>
        <w:gridCol w:w="4836"/>
        <w:gridCol w:w="1465"/>
        <w:gridCol w:w="1370"/>
      </w:tblGrid>
      <w:tr w:rsidR="00B57124" w:rsidRPr="00B57124" w14:paraId="49CF7DDF" w14:textId="77777777" w:rsidTr="007D53AA">
        <w:trPr>
          <w:trHeight w:val="422"/>
        </w:trPr>
        <w:tc>
          <w:tcPr>
            <w:tcW w:w="1148" w:type="dxa"/>
            <w:shd w:val="clear" w:color="auto" w:fill="595959" w:themeFill="text1" w:themeFillTint="A6"/>
            <w:noWrap/>
            <w:vAlign w:val="center"/>
            <w:hideMark/>
          </w:tcPr>
          <w:p w14:paraId="7AEFD783" w14:textId="0B81363D" w:rsidR="00B57124" w:rsidRPr="00B57124" w:rsidRDefault="00B57124" w:rsidP="00B57124">
            <w:pPr>
              <w:spacing w:after="0"/>
              <w:jc w:val="center"/>
              <w:rPr>
                <w:b/>
                <w:bCs/>
                <w:i/>
                <w:iCs/>
                <w:color w:val="FFFFFF" w:themeColor="background1"/>
                <w:sz w:val="18"/>
                <w:szCs w:val="18"/>
              </w:rPr>
            </w:pPr>
            <w:r w:rsidRPr="00B57124">
              <w:rPr>
                <w:b/>
                <w:bCs/>
                <w:i/>
                <w:iCs/>
                <w:color w:val="FFFFFF" w:themeColor="background1"/>
                <w:sz w:val="18"/>
                <w:szCs w:val="18"/>
              </w:rPr>
              <w:t>Nummer</w:t>
            </w:r>
          </w:p>
        </w:tc>
        <w:tc>
          <w:tcPr>
            <w:tcW w:w="5089" w:type="dxa"/>
            <w:gridSpan w:val="2"/>
            <w:shd w:val="clear" w:color="auto" w:fill="595959" w:themeFill="text1" w:themeFillTint="A6"/>
            <w:noWrap/>
            <w:vAlign w:val="center"/>
            <w:hideMark/>
          </w:tcPr>
          <w:p w14:paraId="5E2BAD35" w14:textId="027FBBAC" w:rsidR="00B57124" w:rsidRPr="00B57124" w:rsidRDefault="00B57124" w:rsidP="00B57124">
            <w:pPr>
              <w:spacing w:after="0"/>
              <w:jc w:val="left"/>
              <w:rPr>
                <w:b/>
                <w:bCs/>
                <w:i/>
                <w:iCs/>
                <w:color w:val="FFFFFF" w:themeColor="background1"/>
                <w:sz w:val="18"/>
                <w:szCs w:val="18"/>
              </w:rPr>
            </w:pPr>
            <w:r w:rsidRPr="00B57124">
              <w:rPr>
                <w:b/>
                <w:bCs/>
                <w:i/>
                <w:iCs/>
                <w:color w:val="FFFFFF" w:themeColor="background1"/>
                <w:sz w:val="18"/>
                <w:szCs w:val="18"/>
              </w:rPr>
              <w:t>Name der Panoramastraße (Name auf Montenegrinisch)</w:t>
            </w:r>
          </w:p>
        </w:tc>
        <w:tc>
          <w:tcPr>
            <w:tcW w:w="1465" w:type="dxa"/>
            <w:shd w:val="clear" w:color="auto" w:fill="595959" w:themeFill="text1" w:themeFillTint="A6"/>
            <w:vAlign w:val="center"/>
          </w:tcPr>
          <w:p w14:paraId="6278F6A5" w14:textId="68952691" w:rsidR="00B57124" w:rsidRPr="00B57124" w:rsidRDefault="007D53AA" w:rsidP="00B57124">
            <w:pPr>
              <w:spacing w:after="0"/>
              <w:jc w:val="center"/>
              <w:rPr>
                <w:b/>
                <w:bCs/>
                <w:i/>
                <w:iCs/>
                <w:color w:val="FFFFFF" w:themeColor="background1"/>
                <w:sz w:val="18"/>
                <w:szCs w:val="18"/>
              </w:rPr>
            </w:pPr>
            <w:r>
              <w:rPr>
                <w:b/>
                <w:bCs/>
                <w:i/>
                <w:iCs/>
                <w:color w:val="FFFFFF" w:themeColor="background1"/>
                <w:sz w:val="18"/>
                <w:szCs w:val="18"/>
              </w:rPr>
              <w:t>Fertigstellung</w:t>
            </w:r>
          </w:p>
        </w:tc>
        <w:tc>
          <w:tcPr>
            <w:tcW w:w="1370" w:type="dxa"/>
            <w:shd w:val="clear" w:color="auto" w:fill="595959" w:themeFill="text1" w:themeFillTint="A6"/>
            <w:noWrap/>
            <w:vAlign w:val="center"/>
            <w:hideMark/>
          </w:tcPr>
          <w:p w14:paraId="4CA0A464" w14:textId="45DDA112" w:rsidR="00B57124" w:rsidRPr="00B57124" w:rsidRDefault="00B57124" w:rsidP="00B57124">
            <w:pPr>
              <w:spacing w:after="0"/>
              <w:jc w:val="right"/>
              <w:rPr>
                <w:b/>
                <w:bCs/>
                <w:i/>
                <w:iCs/>
                <w:color w:val="FFFFFF" w:themeColor="background1"/>
                <w:sz w:val="18"/>
                <w:szCs w:val="18"/>
              </w:rPr>
            </w:pPr>
            <w:r w:rsidRPr="00B57124">
              <w:rPr>
                <w:b/>
                <w:bCs/>
                <w:i/>
                <w:iCs/>
                <w:color w:val="FFFFFF" w:themeColor="background1"/>
                <w:sz w:val="18"/>
                <w:szCs w:val="18"/>
              </w:rPr>
              <w:t>Länge in km</w:t>
            </w:r>
          </w:p>
        </w:tc>
      </w:tr>
      <w:tr w:rsidR="00B57124" w:rsidRPr="00B57124" w14:paraId="087E8ADA" w14:textId="77777777" w:rsidTr="007D53AA">
        <w:trPr>
          <w:trHeight w:val="227"/>
        </w:trPr>
        <w:tc>
          <w:tcPr>
            <w:tcW w:w="1148" w:type="dxa"/>
            <w:shd w:val="clear" w:color="auto" w:fill="auto"/>
            <w:noWrap/>
          </w:tcPr>
          <w:p w14:paraId="381CC348" w14:textId="26EF3FA4" w:rsidR="00B57124" w:rsidRPr="00B57124" w:rsidRDefault="00B57124" w:rsidP="00B57124">
            <w:pPr>
              <w:spacing w:after="0"/>
              <w:jc w:val="center"/>
              <w:rPr>
                <w:b/>
                <w:bCs/>
                <w:sz w:val="18"/>
                <w:szCs w:val="18"/>
              </w:rPr>
            </w:pPr>
          </w:p>
        </w:tc>
        <w:tc>
          <w:tcPr>
            <w:tcW w:w="5089" w:type="dxa"/>
            <w:gridSpan w:val="2"/>
            <w:shd w:val="clear" w:color="auto" w:fill="auto"/>
            <w:noWrap/>
          </w:tcPr>
          <w:p w14:paraId="427C70E1" w14:textId="0C7CB317" w:rsidR="00B57124" w:rsidRPr="00B57124" w:rsidRDefault="00B57124" w:rsidP="009E3830">
            <w:pPr>
              <w:spacing w:after="0"/>
              <w:jc w:val="left"/>
              <w:rPr>
                <w:b/>
                <w:bCs/>
                <w:sz w:val="18"/>
                <w:szCs w:val="18"/>
              </w:rPr>
            </w:pPr>
          </w:p>
        </w:tc>
        <w:tc>
          <w:tcPr>
            <w:tcW w:w="1465" w:type="dxa"/>
            <w:vAlign w:val="center"/>
          </w:tcPr>
          <w:p w14:paraId="36651E5E" w14:textId="77777777" w:rsidR="00B57124" w:rsidRPr="00B57124" w:rsidRDefault="00B57124" w:rsidP="00B57124">
            <w:pPr>
              <w:spacing w:after="0"/>
              <w:jc w:val="center"/>
              <w:rPr>
                <w:b/>
                <w:bCs/>
                <w:sz w:val="18"/>
                <w:szCs w:val="18"/>
              </w:rPr>
            </w:pPr>
          </w:p>
        </w:tc>
        <w:tc>
          <w:tcPr>
            <w:tcW w:w="1370" w:type="dxa"/>
            <w:shd w:val="clear" w:color="auto" w:fill="auto"/>
            <w:noWrap/>
          </w:tcPr>
          <w:p w14:paraId="3B034BC5" w14:textId="559B003E" w:rsidR="00B57124" w:rsidRPr="00B57124" w:rsidRDefault="00B57124" w:rsidP="00B57124">
            <w:pPr>
              <w:spacing w:after="0"/>
              <w:jc w:val="right"/>
              <w:rPr>
                <w:b/>
                <w:bCs/>
                <w:sz w:val="18"/>
                <w:szCs w:val="18"/>
              </w:rPr>
            </w:pPr>
          </w:p>
        </w:tc>
      </w:tr>
      <w:tr w:rsidR="00B57124" w:rsidRPr="00B57124" w14:paraId="61AF4A7C" w14:textId="77777777" w:rsidTr="007D53AA">
        <w:trPr>
          <w:trHeight w:val="227"/>
        </w:trPr>
        <w:tc>
          <w:tcPr>
            <w:tcW w:w="1148" w:type="dxa"/>
            <w:shd w:val="clear" w:color="auto" w:fill="EAF1DD" w:themeFill="accent3" w:themeFillTint="33"/>
            <w:noWrap/>
          </w:tcPr>
          <w:p w14:paraId="11D52628" w14:textId="0254C38B" w:rsidR="00B57124" w:rsidRPr="00B57124" w:rsidRDefault="00B57124" w:rsidP="00B57124">
            <w:pPr>
              <w:spacing w:after="0"/>
              <w:jc w:val="center"/>
              <w:rPr>
                <w:b/>
                <w:bCs/>
                <w:sz w:val="18"/>
                <w:szCs w:val="18"/>
              </w:rPr>
            </w:pPr>
            <w:r w:rsidRPr="00B57124">
              <w:rPr>
                <w:b/>
                <w:bCs/>
                <w:sz w:val="18"/>
                <w:szCs w:val="18"/>
              </w:rPr>
              <w:t>1</w:t>
            </w:r>
          </w:p>
        </w:tc>
        <w:tc>
          <w:tcPr>
            <w:tcW w:w="5089" w:type="dxa"/>
            <w:gridSpan w:val="2"/>
            <w:shd w:val="clear" w:color="auto" w:fill="EAF1DD" w:themeFill="accent3" w:themeFillTint="33"/>
            <w:noWrap/>
          </w:tcPr>
          <w:p w14:paraId="39257816" w14:textId="2B3F8859" w:rsidR="00B57124" w:rsidRPr="00B57124" w:rsidRDefault="00B57124" w:rsidP="00B57124">
            <w:pPr>
              <w:spacing w:after="0"/>
              <w:jc w:val="left"/>
              <w:rPr>
                <w:b/>
                <w:bCs/>
                <w:sz w:val="18"/>
                <w:szCs w:val="18"/>
              </w:rPr>
            </w:pPr>
            <w:r w:rsidRPr="00B57124">
              <w:rPr>
                <w:b/>
                <w:bCs/>
                <w:sz w:val="18"/>
                <w:szCs w:val="18"/>
              </w:rPr>
              <w:t>Die Krone von Montenegro (</w:t>
            </w:r>
            <w:proofErr w:type="spellStart"/>
            <w:r w:rsidRPr="00B57124">
              <w:rPr>
                <w:b/>
                <w:bCs/>
                <w:sz w:val="18"/>
                <w:szCs w:val="18"/>
              </w:rPr>
              <w:t>Kruna</w:t>
            </w:r>
            <w:proofErr w:type="spellEnd"/>
            <w:r w:rsidRPr="00B57124">
              <w:rPr>
                <w:b/>
                <w:bCs/>
                <w:sz w:val="18"/>
                <w:szCs w:val="18"/>
              </w:rPr>
              <w:t xml:space="preserve"> </w:t>
            </w:r>
            <w:proofErr w:type="spellStart"/>
            <w:r w:rsidRPr="00B57124">
              <w:rPr>
                <w:b/>
                <w:bCs/>
                <w:sz w:val="18"/>
                <w:szCs w:val="18"/>
              </w:rPr>
              <w:t>Crne</w:t>
            </w:r>
            <w:proofErr w:type="spellEnd"/>
            <w:r w:rsidRPr="00B57124">
              <w:rPr>
                <w:b/>
                <w:bCs/>
                <w:sz w:val="18"/>
                <w:szCs w:val="18"/>
              </w:rPr>
              <w:t xml:space="preserve"> Gore)</w:t>
            </w:r>
            <w:r>
              <w:rPr>
                <w:b/>
                <w:bCs/>
                <w:sz w:val="18"/>
                <w:szCs w:val="18"/>
              </w:rPr>
              <w:t xml:space="preserve"> </w:t>
            </w:r>
          </w:p>
        </w:tc>
        <w:tc>
          <w:tcPr>
            <w:tcW w:w="1465" w:type="dxa"/>
            <w:shd w:val="clear" w:color="auto" w:fill="EAF1DD" w:themeFill="accent3" w:themeFillTint="33"/>
            <w:vAlign w:val="center"/>
          </w:tcPr>
          <w:p w14:paraId="3378ABA4" w14:textId="1C37368E" w:rsidR="00B57124" w:rsidRPr="00B57124" w:rsidRDefault="00B57124" w:rsidP="00B57124">
            <w:pPr>
              <w:spacing w:after="0"/>
              <w:jc w:val="center"/>
              <w:rPr>
                <w:b/>
                <w:bCs/>
                <w:sz w:val="18"/>
                <w:szCs w:val="18"/>
              </w:rPr>
            </w:pPr>
            <w:r>
              <w:rPr>
                <w:b/>
                <w:bCs/>
                <w:sz w:val="18"/>
                <w:szCs w:val="18"/>
              </w:rPr>
              <w:t>2020</w:t>
            </w:r>
          </w:p>
        </w:tc>
        <w:tc>
          <w:tcPr>
            <w:tcW w:w="1370" w:type="dxa"/>
            <w:shd w:val="clear" w:color="auto" w:fill="EAF1DD" w:themeFill="accent3" w:themeFillTint="33"/>
            <w:noWrap/>
          </w:tcPr>
          <w:p w14:paraId="6D7CA412" w14:textId="604ADFCD" w:rsidR="00B57124" w:rsidRPr="00B57124" w:rsidRDefault="00B57124" w:rsidP="00B57124">
            <w:pPr>
              <w:spacing w:after="0"/>
              <w:jc w:val="right"/>
              <w:rPr>
                <w:b/>
                <w:bCs/>
                <w:sz w:val="18"/>
                <w:szCs w:val="18"/>
              </w:rPr>
            </w:pPr>
            <w:r w:rsidRPr="00B57124">
              <w:rPr>
                <w:b/>
                <w:bCs/>
                <w:sz w:val="18"/>
                <w:szCs w:val="18"/>
              </w:rPr>
              <w:t>714,0</w:t>
            </w:r>
          </w:p>
        </w:tc>
      </w:tr>
      <w:tr w:rsidR="00B57124" w:rsidRPr="00B57124" w14:paraId="0073E64D" w14:textId="77777777" w:rsidTr="007D53AA">
        <w:trPr>
          <w:trHeight w:val="227"/>
        </w:trPr>
        <w:tc>
          <w:tcPr>
            <w:tcW w:w="1148" w:type="dxa"/>
            <w:noWrap/>
            <w:hideMark/>
          </w:tcPr>
          <w:p w14:paraId="79A18F34" w14:textId="77777777" w:rsidR="00B57124" w:rsidRPr="00B57124" w:rsidRDefault="00B57124" w:rsidP="00B57124">
            <w:pPr>
              <w:spacing w:after="0"/>
              <w:jc w:val="center"/>
              <w:rPr>
                <w:sz w:val="18"/>
                <w:szCs w:val="18"/>
              </w:rPr>
            </w:pPr>
            <w:r w:rsidRPr="00B57124">
              <w:rPr>
                <w:sz w:val="18"/>
                <w:szCs w:val="18"/>
              </w:rPr>
              <w:t>1A</w:t>
            </w:r>
          </w:p>
        </w:tc>
        <w:tc>
          <w:tcPr>
            <w:tcW w:w="5089" w:type="dxa"/>
            <w:gridSpan w:val="2"/>
            <w:noWrap/>
            <w:hideMark/>
          </w:tcPr>
          <w:p w14:paraId="45FFBF11" w14:textId="14A590D2" w:rsidR="00B57124" w:rsidRPr="00B57124" w:rsidRDefault="00B57124" w:rsidP="00B57124">
            <w:pPr>
              <w:spacing w:after="0"/>
              <w:jc w:val="left"/>
              <w:rPr>
                <w:sz w:val="18"/>
                <w:szCs w:val="18"/>
              </w:rPr>
            </w:pPr>
            <w:r w:rsidRPr="00B57124">
              <w:rPr>
                <w:sz w:val="18"/>
                <w:szCs w:val="18"/>
              </w:rPr>
              <w:t>Abkürzung bei</w:t>
            </w:r>
            <w:r w:rsidRPr="00B57124">
              <w:rPr>
                <w:sz w:val="18"/>
                <w:szCs w:val="18"/>
              </w:rPr>
              <w:t xml:space="preserve"> </w:t>
            </w:r>
            <w:proofErr w:type="spellStart"/>
            <w:r w:rsidRPr="00B57124">
              <w:rPr>
                <w:sz w:val="18"/>
                <w:szCs w:val="18"/>
              </w:rPr>
              <w:t>Berane</w:t>
            </w:r>
            <w:proofErr w:type="spellEnd"/>
          </w:p>
        </w:tc>
        <w:tc>
          <w:tcPr>
            <w:tcW w:w="1465" w:type="dxa"/>
            <w:vAlign w:val="center"/>
          </w:tcPr>
          <w:p w14:paraId="1A651C1B" w14:textId="77777777" w:rsidR="00B57124" w:rsidRPr="00B57124" w:rsidRDefault="00B57124" w:rsidP="00B57124">
            <w:pPr>
              <w:spacing w:after="0"/>
              <w:jc w:val="center"/>
              <w:rPr>
                <w:sz w:val="18"/>
                <w:szCs w:val="18"/>
              </w:rPr>
            </w:pPr>
          </w:p>
        </w:tc>
        <w:tc>
          <w:tcPr>
            <w:tcW w:w="1370" w:type="dxa"/>
            <w:noWrap/>
            <w:hideMark/>
          </w:tcPr>
          <w:p w14:paraId="7F51CEB5" w14:textId="375D8932" w:rsidR="00B57124" w:rsidRPr="00B57124" w:rsidRDefault="00B57124" w:rsidP="00B57124">
            <w:pPr>
              <w:spacing w:after="0"/>
              <w:jc w:val="right"/>
              <w:rPr>
                <w:sz w:val="18"/>
                <w:szCs w:val="18"/>
              </w:rPr>
            </w:pPr>
            <w:r w:rsidRPr="00B57124">
              <w:rPr>
                <w:sz w:val="18"/>
                <w:szCs w:val="18"/>
              </w:rPr>
              <w:t>9,8</w:t>
            </w:r>
          </w:p>
        </w:tc>
      </w:tr>
      <w:tr w:rsidR="00B57124" w:rsidRPr="00B57124" w14:paraId="77192715" w14:textId="77777777" w:rsidTr="007D53AA">
        <w:trPr>
          <w:trHeight w:val="227"/>
        </w:trPr>
        <w:tc>
          <w:tcPr>
            <w:tcW w:w="1148" w:type="dxa"/>
            <w:shd w:val="clear" w:color="auto" w:fill="BFBFBF" w:themeFill="background1" w:themeFillShade="BF"/>
            <w:noWrap/>
            <w:hideMark/>
          </w:tcPr>
          <w:p w14:paraId="7956C4DA" w14:textId="77777777" w:rsidR="00B57124" w:rsidRPr="00B57124" w:rsidRDefault="00B57124" w:rsidP="00B57124">
            <w:pPr>
              <w:spacing w:after="0"/>
              <w:jc w:val="center"/>
              <w:rPr>
                <w:sz w:val="18"/>
                <w:szCs w:val="18"/>
              </w:rPr>
            </w:pPr>
            <w:r w:rsidRPr="00B57124">
              <w:rPr>
                <w:sz w:val="18"/>
                <w:szCs w:val="18"/>
              </w:rPr>
              <w:t>1B</w:t>
            </w:r>
          </w:p>
        </w:tc>
        <w:tc>
          <w:tcPr>
            <w:tcW w:w="5089" w:type="dxa"/>
            <w:gridSpan w:val="2"/>
            <w:shd w:val="clear" w:color="auto" w:fill="BFBFBF" w:themeFill="background1" w:themeFillShade="BF"/>
            <w:noWrap/>
            <w:hideMark/>
          </w:tcPr>
          <w:p w14:paraId="10CAD7D6" w14:textId="341116A7" w:rsidR="00B57124" w:rsidRPr="00B57124" w:rsidRDefault="00B57124" w:rsidP="00B57124">
            <w:pPr>
              <w:spacing w:after="0"/>
              <w:jc w:val="left"/>
              <w:rPr>
                <w:sz w:val="18"/>
                <w:szCs w:val="18"/>
              </w:rPr>
            </w:pPr>
            <w:r w:rsidRPr="00B57124">
              <w:rPr>
                <w:sz w:val="18"/>
                <w:szCs w:val="18"/>
              </w:rPr>
              <w:t>Abstecher nach</w:t>
            </w:r>
            <w:r w:rsidRPr="00B57124">
              <w:rPr>
                <w:sz w:val="18"/>
                <w:szCs w:val="18"/>
              </w:rPr>
              <w:t xml:space="preserve"> </w:t>
            </w:r>
            <w:proofErr w:type="spellStart"/>
            <w:r w:rsidRPr="00B57124">
              <w:rPr>
                <w:sz w:val="18"/>
                <w:szCs w:val="18"/>
              </w:rPr>
              <w:t>Rožaje</w:t>
            </w:r>
            <w:proofErr w:type="spellEnd"/>
          </w:p>
        </w:tc>
        <w:tc>
          <w:tcPr>
            <w:tcW w:w="1465" w:type="dxa"/>
            <w:shd w:val="clear" w:color="auto" w:fill="BFBFBF" w:themeFill="background1" w:themeFillShade="BF"/>
            <w:vAlign w:val="center"/>
          </w:tcPr>
          <w:p w14:paraId="331418F9" w14:textId="77777777" w:rsidR="00B57124" w:rsidRPr="00B57124" w:rsidRDefault="00B57124" w:rsidP="00B57124">
            <w:pPr>
              <w:spacing w:after="0"/>
              <w:jc w:val="center"/>
              <w:rPr>
                <w:sz w:val="18"/>
                <w:szCs w:val="18"/>
              </w:rPr>
            </w:pPr>
          </w:p>
        </w:tc>
        <w:tc>
          <w:tcPr>
            <w:tcW w:w="1370" w:type="dxa"/>
            <w:shd w:val="clear" w:color="auto" w:fill="BFBFBF" w:themeFill="background1" w:themeFillShade="BF"/>
            <w:noWrap/>
            <w:hideMark/>
          </w:tcPr>
          <w:p w14:paraId="50C6D654" w14:textId="33F40297" w:rsidR="00B57124" w:rsidRPr="00B57124" w:rsidRDefault="00B57124" w:rsidP="00B57124">
            <w:pPr>
              <w:spacing w:after="0"/>
              <w:jc w:val="right"/>
              <w:rPr>
                <w:sz w:val="18"/>
                <w:szCs w:val="18"/>
              </w:rPr>
            </w:pPr>
            <w:r w:rsidRPr="00B57124">
              <w:rPr>
                <w:sz w:val="18"/>
                <w:szCs w:val="18"/>
              </w:rPr>
              <w:t>15,9</w:t>
            </w:r>
          </w:p>
        </w:tc>
      </w:tr>
      <w:tr w:rsidR="00B57124" w:rsidRPr="00B57124" w14:paraId="69BE9316" w14:textId="77777777" w:rsidTr="007D53AA">
        <w:trPr>
          <w:trHeight w:val="227"/>
        </w:trPr>
        <w:tc>
          <w:tcPr>
            <w:tcW w:w="1148" w:type="dxa"/>
            <w:noWrap/>
            <w:hideMark/>
          </w:tcPr>
          <w:p w14:paraId="1AFD5747" w14:textId="77777777" w:rsidR="00B57124" w:rsidRPr="00B57124" w:rsidRDefault="00B57124" w:rsidP="00B57124">
            <w:pPr>
              <w:spacing w:after="0"/>
              <w:jc w:val="center"/>
              <w:rPr>
                <w:sz w:val="18"/>
                <w:szCs w:val="18"/>
              </w:rPr>
            </w:pPr>
            <w:r w:rsidRPr="00B57124">
              <w:rPr>
                <w:sz w:val="18"/>
                <w:szCs w:val="18"/>
              </w:rPr>
              <w:t>1C</w:t>
            </w:r>
          </w:p>
        </w:tc>
        <w:tc>
          <w:tcPr>
            <w:tcW w:w="5089" w:type="dxa"/>
            <w:gridSpan w:val="2"/>
            <w:noWrap/>
            <w:hideMark/>
          </w:tcPr>
          <w:p w14:paraId="040A0202" w14:textId="49AB9D82" w:rsidR="00B57124" w:rsidRPr="00B57124" w:rsidRDefault="00B57124" w:rsidP="00B57124">
            <w:pPr>
              <w:spacing w:after="0"/>
              <w:jc w:val="left"/>
              <w:rPr>
                <w:sz w:val="18"/>
                <w:szCs w:val="18"/>
              </w:rPr>
            </w:pPr>
            <w:r w:rsidRPr="00B57124">
              <w:rPr>
                <w:sz w:val="18"/>
                <w:szCs w:val="18"/>
              </w:rPr>
              <w:t xml:space="preserve">Abstecher nach </w:t>
            </w:r>
            <w:proofErr w:type="spellStart"/>
            <w:r w:rsidRPr="00B57124">
              <w:rPr>
                <w:sz w:val="18"/>
                <w:szCs w:val="18"/>
              </w:rPr>
              <w:t>Bijelo</w:t>
            </w:r>
            <w:proofErr w:type="spellEnd"/>
            <w:r w:rsidRPr="00B57124">
              <w:rPr>
                <w:sz w:val="18"/>
                <w:szCs w:val="18"/>
              </w:rPr>
              <w:t xml:space="preserve"> Polje</w:t>
            </w:r>
          </w:p>
        </w:tc>
        <w:tc>
          <w:tcPr>
            <w:tcW w:w="1465" w:type="dxa"/>
            <w:vAlign w:val="center"/>
          </w:tcPr>
          <w:p w14:paraId="44A24B16" w14:textId="77777777" w:rsidR="00B57124" w:rsidRPr="00B57124" w:rsidRDefault="00B57124" w:rsidP="00B57124">
            <w:pPr>
              <w:spacing w:after="0"/>
              <w:jc w:val="center"/>
              <w:rPr>
                <w:sz w:val="18"/>
                <w:szCs w:val="18"/>
              </w:rPr>
            </w:pPr>
          </w:p>
        </w:tc>
        <w:tc>
          <w:tcPr>
            <w:tcW w:w="1370" w:type="dxa"/>
            <w:noWrap/>
            <w:hideMark/>
          </w:tcPr>
          <w:p w14:paraId="0EFBB795" w14:textId="250ED230" w:rsidR="00B57124" w:rsidRPr="00B57124" w:rsidRDefault="00B57124" w:rsidP="00B57124">
            <w:pPr>
              <w:spacing w:after="0"/>
              <w:jc w:val="right"/>
              <w:rPr>
                <w:sz w:val="18"/>
                <w:szCs w:val="18"/>
              </w:rPr>
            </w:pPr>
            <w:r w:rsidRPr="00B57124">
              <w:rPr>
                <w:sz w:val="18"/>
                <w:szCs w:val="18"/>
              </w:rPr>
              <w:t>11,1</w:t>
            </w:r>
          </w:p>
        </w:tc>
      </w:tr>
      <w:tr w:rsidR="00B57124" w:rsidRPr="00B57124" w14:paraId="7682616B" w14:textId="77777777" w:rsidTr="007D53AA">
        <w:trPr>
          <w:trHeight w:val="227"/>
        </w:trPr>
        <w:tc>
          <w:tcPr>
            <w:tcW w:w="1148" w:type="dxa"/>
            <w:shd w:val="clear" w:color="auto" w:fill="BFBFBF" w:themeFill="background1" w:themeFillShade="BF"/>
            <w:noWrap/>
            <w:hideMark/>
          </w:tcPr>
          <w:p w14:paraId="4F1DA987" w14:textId="77777777" w:rsidR="00B57124" w:rsidRPr="00B57124" w:rsidRDefault="00B57124" w:rsidP="00B57124">
            <w:pPr>
              <w:spacing w:after="0"/>
              <w:jc w:val="center"/>
              <w:rPr>
                <w:sz w:val="18"/>
                <w:szCs w:val="18"/>
              </w:rPr>
            </w:pPr>
            <w:r w:rsidRPr="00B57124">
              <w:rPr>
                <w:sz w:val="18"/>
                <w:szCs w:val="18"/>
              </w:rPr>
              <w:t>1D</w:t>
            </w:r>
          </w:p>
        </w:tc>
        <w:tc>
          <w:tcPr>
            <w:tcW w:w="5089" w:type="dxa"/>
            <w:gridSpan w:val="2"/>
            <w:shd w:val="clear" w:color="auto" w:fill="BFBFBF" w:themeFill="background1" w:themeFillShade="BF"/>
            <w:noWrap/>
            <w:hideMark/>
          </w:tcPr>
          <w:p w14:paraId="3FFD8785" w14:textId="136A1E07" w:rsidR="00B57124" w:rsidRPr="00B57124" w:rsidRDefault="00B57124" w:rsidP="00B57124">
            <w:pPr>
              <w:spacing w:after="0"/>
              <w:jc w:val="left"/>
              <w:rPr>
                <w:sz w:val="18"/>
                <w:szCs w:val="18"/>
              </w:rPr>
            </w:pPr>
            <w:r w:rsidRPr="00B57124">
              <w:rPr>
                <w:sz w:val="18"/>
                <w:szCs w:val="18"/>
              </w:rPr>
              <w:t xml:space="preserve">Abkürzung bei </w:t>
            </w:r>
            <w:proofErr w:type="spellStart"/>
            <w:r w:rsidRPr="00B57124">
              <w:rPr>
                <w:sz w:val="18"/>
                <w:szCs w:val="18"/>
              </w:rPr>
              <w:t>Mojkovac</w:t>
            </w:r>
            <w:proofErr w:type="spellEnd"/>
          </w:p>
        </w:tc>
        <w:tc>
          <w:tcPr>
            <w:tcW w:w="1465" w:type="dxa"/>
            <w:shd w:val="clear" w:color="auto" w:fill="BFBFBF" w:themeFill="background1" w:themeFillShade="BF"/>
            <w:vAlign w:val="center"/>
          </w:tcPr>
          <w:p w14:paraId="7FCFAB7C" w14:textId="77777777" w:rsidR="00B57124" w:rsidRPr="00B57124" w:rsidRDefault="00B57124" w:rsidP="00B57124">
            <w:pPr>
              <w:spacing w:after="0"/>
              <w:jc w:val="center"/>
              <w:rPr>
                <w:sz w:val="18"/>
                <w:szCs w:val="18"/>
              </w:rPr>
            </w:pPr>
          </w:p>
        </w:tc>
        <w:tc>
          <w:tcPr>
            <w:tcW w:w="1370" w:type="dxa"/>
            <w:shd w:val="clear" w:color="auto" w:fill="BFBFBF" w:themeFill="background1" w:themeFillShade="BF"/>
            <w:noWrap/>
            <w:hideMark/>
          </w:tcPr>
          <w:p w14:paraId="7C44CD3C" w14:textId="2127680E" w:rsidR="00B57124" w:rsidRPr="00B57124" w:rsidRDefault="00B57124" w:rsidP="00B57124">
            <w:pPr>
              <w:spacing w:after="0"/>
              <w:jc w:val="right"/>
              <w:rPr>
                <w:sz w:val="18"/>
                <w:szCs w:val="18"/>
              </w:rPr>
            </w:pPr>
            <w:r w:rsidRPr="00B57124">
              <w:rPr>
                <w:sz w:val="18"/>
                <w:szCs w:val="18"/>
              </w:rPr>
              <w:t>17,3</w:t>
            </w:r>
          </w:p>
        </w:tc>
      </w:tr>
      <w:tr w:rsidR="00B57124" w:rsidRPr="00B57124" w14:paraId="3B58FC99" w14:textId="77777777" w:rsidTr="007D53AA">
        <w:trPr>
          <w:trHeight w:val="227"/>
        </w:trPr>
        <w:tc>
          <w:tcPr>
            <w:tcW w:w="1148" w:type="dxa"/>
            <w:noWrap/>
            <w:hideMark/>
          </w:tcPr>
          <w:p w14:paraId="02E031FF" w14:textId="77777777" w:rsidR="00B57124" w:rsidRPr="00B57124" w:rsidRDefault="00B57124" w:rsidP="00B57124">
            <w:pPr>
              <w:spacing w:after="0"/>
              <w:jc w:val="center"/>
              <w:rPr>
                <w:sz w:val="18"/>
                <w:szCs w:val="18"/>
              </w:rPr>
            </w:pPr>
            <w:r w:rsidRPr="00B57124">
              <w:rPr>
                <w:sz w:val="18"/>
                <w:szCs w:val="18"/>
              </w:rPr>
              <w:t>1E</w:t>
            </w:r>
          </w:p>
        </w:tc>
        <w:tc>
          <w:tcPr>
            <w:tcW w:w="5089" w:type="dxa"/>
            <w:gridSpan w:val="2"/>
            <w:noWrap/>
            <w:hideMark/>
          </w:tcPr>
          <w:p w14:paraId="6DEABB4E" w14:textId="74C9DF8B" w:rsidR="00B57124" w:rsidRPr="00B57124" w:rsidRDefault="00B57124" w:rsidP="00B57124">
            <w:pPr>
              <w:spacing w:after="0"/>
              <w:jc w:val="left"/>
              <w:rPr>
                <w:sz w:val="18"/>
                <w:szCs w:val="18"/>
              </w:rPr>
            </w:pPr>
            <w:r w:rsidRPr="00B57124">
              <w:rPr>
                <w:sz w:val="18"/>
                <w:szCs w:val="18"/>
              </w:rPr>
              <w:t>Abkürzung bei Žabljak</w:t>
            </w:r>
          </w:p>
        </w:tc>
        <w:tc>
          <w:tcPr>
            <w:tcW w:w="1465" w:type="dxa"/>
            <w:vAlign w:val="center"/>
          </w:tcPr>
          <w:p w14:paraId="6819147A" w14:textId="77777777" w:rsidR="00B57124" w:rsidRPr="00B57124" w:rsidRDefault="00B57124" w:rsidP="00B57124">
            <w:pPr>
              <w:spacing w:after="0"/>
              <w:jc w:val="center"/>
              <w:rPr>
                <w:sz w:val="18"/>
                <w:szCs w:val="18"/>
              </w:rPr>
            </w:pPr>
          </w:p>
        </w:tc>
        <w:tc>
          <w:tcPr>
            <w:tcW w:w="1370" w:type="dxa"/>
            <w:noWrap/>
            <w:hideMark/>
          </w:tcPr>
          <w:p w14:paraId="61209DF7" w14:textId="5CF2C269" w:rsidR="00B57124" w:rsidRPr="00B57124" w:rsidRDefault="00B57124" w:rsidP="00B57124">
            <w:pPr>
              <w:spacing w:after="0"/>
              <w:jc w:val="right"/>
              <w:rPr>
                <w:sz w:val="18"/>
                <w:szCs w:val="18"/>
              </w:rPr>
            </w:pPr>
            <w:r w:rsidRPr="00B57124">
              <w:rPr>
                <w:sz w:val="18"/>
                <w:szCs w:val="18"/>
              </w:rPr>
              <w:t>11,8</w:t>
            </w:r>
          </w:p>
        </w:tc>
      </w:tr>
      <w:tr w:rsidR="00B57124" w:rsidRPr="00B57124" w14:paraId="40A4A061" w14:textId="77777777" w:rsidTr="007D53AA">
        <w:trPr>
          <w:trHeight w:val="227"/>
        </w:trPr>
        <w:tc>
          <w:tcPr>
            <w:tcW w:w="1148" w:type="dxa"/>
            <w:shd w:val="clear" w:color="auto" w:fill="BFBFBF" w:themeFill="background1" w:themeFillShade="BF"/>
            <w:noWrap/>
            <w:hideMark/>
          </w:tcPr>
          <w:p w14:paraId="5FDF5AB0" w14:textId="77777777" w:rsidR="00B57124" w:rsidRPr="00B57124" w:rsidRDefault="00B57124" w:rsidP="00B57124">
            <w:pPr>
              <w:spacing w:after="0"/>
              <w:jc w:val="center"/>
              <w:rPr>
                <w:sz w:val="18"/>
                <w:szCs w:val="18"/>
              </w:rPr>
            </w:pPr>
            <w:r w:rsidRPr="00B57124">
              <w:rPr>
                <w:sz w:val="18"/>
                <w:szCs w:val="18"/>
              </w:rPr>
              <w:t>1F</w:t>
            </w:r>
          </w:p>
        </w:tc>
        <w:tc>
          <w:tcPr>
            <w:tcW w:w="5089" w:type="dxa"/>
            <w:gridSpan w:val="2"/>
            <w:shd w:val="clear" w:color="auto" w:fill="BFBFBF" w:themeFill="background1" w:themeFillShade="BF"/>
            <w:noWrap/>
            <w:hideMark/>
          </w:tcPr>
          <w:p w14:paraId="16A6FB5D" w14:textId="15EAC3C9" w:rsidR="00B57124" w:rsidRPr="00B57124" w:rsidRDefault="00B57124" w:rsidP="00B57124">
            <w:pPr>
              <w:spacing w:after="0"/>
              <w:jc w:val="left"/>
              <w:rPr>
                <w:sz w:val="18"/>
                <w:szCs w:val="18"/>
              </w:rPr>
            </w:pPr>
            <w:r w:rsidRPr="00B57124">
              <w:rPr>
                <w:sz w:val="18"/>
                <w:szCs w:val="18"/>
              </w:rPr>
              <w:t>Abkürzung bei Šavnik</w:t>
            </w:r>
          </w:p>
        </w:tc>
        <w:tc>
          <w:tcPr>
            <w:tcW w:w="1465" w:type="dxa"/>
            <w:shd w:val="clear" w:color="auto" w:fill="BFBFBF" w:themeFill="background1" w:themeFillShade="BF"/>
            <w:vAlign w:val="center"/>
          </w:tcPr>
          <w:p w14:paraId="43D3F72C" w14:textId="77777777" w:rsidR="00B57124" w:rsidRPr="00B57124" w:rsidRDefault="00B57124" w:rsidP="00B57124">
            <w:pPr>
              <w:spacing w:after="0"/>
              <w:jc w:val="center"/>
              <w:rPr>
                <w:sz w:val="18"/>
                <w:szCs w:val="18"/>
              </w:rPr>
            </w:pPr>
          </w:p>
        </w:tc>
        <w:tc>
          <w:tcPr>
            <w:tcW w:w="1370" w:type="dxa"/>
            <w:shd w:val="clear" w:color="auto" w:fill="BFBFBF" w:themeFill="background1" w:themeFillShade="BF"/>
            <w:noWrap/>
            <w:hideMark/>
          </w:tcPr>
          <w:p w14:paraId="1F05E811" w14:textId="25338076" w:rsidR="00B57124" w:rsidRPr="00B57124" w:rsidRDefault="00B57124" w:rsidP="00B57124">
            <w:pPr>
              <w:spacing w:after="0"/>
              <w:jc w:val="right"/>
              <w:rPr>
                <w:sz w:val="18"/>
                <w:szCs w:val="18"/>
              </w:rPr>
            </w:pPr>
            <w:r w:rsidRPr="00B57124">
              <w:rPr>
                <w:sz w:val="18"/>
                <w:szCs w:val="18"/>
              </w:rPr>
              <w:t>14,6</w:t>
            </w:r>
          </w:p>
        </w:tc>
      </w:tr>
      <w:tr w:rsidR="00B57124" w:rsidRPr="00B57124" w14:paraId="14F0DECF" w14:textId="77777777" w:rsidTr="007D53AA">
        <w:trPr>
          <w:trHeight w:val="227"/>
        </w:trPr>
        <w:tc>
          <w:tcPr>
            <w:tcW w:w="1148" w:type="dxa"/>
            <w:noWrap/>
            <w:hideMark/>
          </w:tcPr>
          <w:p w14:paraId="06A978AB" w14:textId="77777777" w:rsidR="00B57124" w:rsidRPr="00B57124" w:rsidRDefault="00B57124" w:rsidP="00B57124">
            <w:pPr>
              <w:spacing w:after="0"/>
              <w:jc w:val="center"/>
              <w:rPr>
                <w:sz w:val="18"/>
                <w:szCs w:val="18"/>
              </w:rPr>
            </w:pPr>
            <w:r w:rsidRPr="00B57124">
              <w:rPr>
                <w:sz w:val="18"/>
                <w:szCs w:val="18"/>
              </w:rPr>
              <w:t>1G</w:t>
            </w:r>
          </w:p>
        </w:tc>
        <w:tc>
          <w:tcPr>
            <w:tcW w:w="5089" w:type="dxa"/>
            <w:gridSpan w:val="2"/>
            <w:noWrap/>
            <w:hideMark/>
          </w:tcPr>
          <w:p w14:paraId="2E86D9EA" w14:textId="58EAC165" w:rsidR="00B57124" w:rsidRPr="00B57124" w:rsidRDefault="00B57124" w:rsidP="00B57124">
            <w:pPr>
              <w:spacing w:after="0"/>
              <w:jc w:val="left"/>
              <w:rPr>
                <w:sz w:val="18"/>
                <w:szCs w:val="18"/>
              </w:rPr>
            </w:pPr>
            <w:r w:rsidRPr="00B57124">
              <w:rPr>
                <w:sz w:val="18"/>
                <w:szCs w:val="18"/>
              </w:rPr>
              <w:t>Abkürzung bei Plužine</w:t>
            </w:r>
          </w:p>
        </w:tc>
        <w:tc>
          <w:tcPr>
            <w:tcW w:w="1465" w:type="dxa"/>
            <w:vAlign w:val="center"/>
          </w:tcPr>
          <w:p w14:paraId="5D6B3992" w14:textId="77777777" w:rsidR="00B57124" w:rsidRPr="00B57124" w:rsidRDefault="00B57124" w:rsidP="00B57124">
            <w:pPr>
              <w:spacing w:after="0"/>
              <w:jc w:val="center"/>
              <w:rPr>
                <w:sz w:val="18"/>
                <w:szCs w:val="18"/>
              </w:rPr>
            </w:pPr>
          </w:p>
        </w:tc>
        <w:tc>
          <w:tcPr>
            <w:tcW w:w="1370" w:type="dxa"/>
            <w:noWrap/>
            <w:hideMark/>
          </w:tcPr>
          <w:p w14:paraId="0662BCC7" w14:textId="35BE37B0" w:rsidR="00B57124" w:rsidRPr="00B57124" w:rsidRDefault="00B57124" w:rsidP="00B57124">
            <w:pPr>
              <w:spacing w:after="0"/>
              <w:jc w:val="right"/>
              <w:rPr>
                <w:sz w:val="18"/>
                <w:szCs w:val="18"/>
              </w:rPr>
            </w:pPr>
            <w:r w:rsidRPr="00B57124">
              <w:rPr>
                <w:sz w:val="18"/>
                <w:szCs w:val="18"/>
              </w:rPr>
              <w:t>11,4</w:t>
            </w:r>
          </w:p>
        </w:tc>
      </w:tr>
      <w:tr w:rsidR="00B57124" w:rsidRPr="00B57124" w14:paraId="3BC0D563" w14:textId="77777777" w:rsidTr="007D53AA">
        <w:trPr>
          <w:trHeight w:val="227"/>
        </w:trPr>
        <w:tc>
          <w:tcPr>
            <w:tcW w:w="1148" w:type="dxa"/>
            <w:noWrap/>
          </w:tcPr>
          <w:p w14:paraId="61E4C8FB" w14:textId="77777777" w:rsidR="00B57124" w:rsidRPr="00B57124" w:rsidRDefault="00B57124" w:rsidP="00B57124">
            <w:pPr>
              <w:spacing w:after="0"/>
              <w:jc w:val="center"/>
              <w:rPr>
                <w:sz w:val="18"/>
                <w:szCs w:val="18"/>
              </w:rPr>
            </w:pPr>
          </w:p>
        </w:tc>
        <w:tc>
          <w:tcPr>
            <w:tcW w:w="5089" w:type="dxa"/>
            <w:gridSpan w:val="2"/>
            <w:noWrap/>
          </w:tcPr>
          <w:p w14:paraId="20FF2971" w14:textId="77777777" w:rsidR="00B57124" w:rsidRPr="00B57124" w:rsidRDefault="00B57124" w:rsidP="00B57124">
            <w:pPr>
              <w:spacing w:after="0"/>
              <w:jc w:val="left"/>
              <w:rPr>
                <w:sz w:val="18"/>
                <w:szCs w:val="18"/>
              </w:rPr>
            </w:pPr>
          </w:p>
        </w:tc>
        <w:tc>
          <w:tcPr>
            <w:tcW w:w="1465" w:type="dxa"/>
            <w:vAlign w:val="center"/>
          </w:tcPr>
          <w:p w14:paraId="2A0B6120" w14:textId="77777777" w:rsidR="00B57124" w:rsidRPr="00B57124" w:rsidRDefault="00B57124" w:rsidP="00B57124">
            <w:pPr>
              <w:spacing w:after="0"/>
              <w:jc w:val="center"/>
              <w:rPr>
                <w:sz w:val="18"/>
                <w:szCs w:val="18"/>
              </w:rPr>
            </w:pPr>
          </w:p>
        </w:tc>
        <w:tc>
          <w:tcPr>
            <w:tcW w:w="1370" w:type="dxa"/>
            <w:noWrap/>
          </w:tcPr>
          <w:p w14:paraId="77E588DF" w14:textId="758C7FAF" w:rsidR="00B57124" w:rsidRPr="00B57124" w:rsidRDefault="00B57124" w:rsidP="00B57124">
            <w:pPr>
              <w:spacing w:after="0"/>
              <w:jc w:val="right"/>
              <w:rPr>
                <w:sz w:val="18"/>
                <w:szCs w:val="18"/>
              </w:rPr>
            </w:pPr>
          </w:p>
        </w:tc>
      </w:tr>
      <w:tr w:rsidR="00B57124" w:rsidRPr="00B57124" w14:paraId="31CB159B" w14:textId="77777777" w:rsidTr="007D53AA">
        <w:trPr>
          <w:trHeight w:val="227"/>
        </w:trPr>
        <w:tc>
          <w:tcPr>
            <w:tcW w:w="1148" w:type="dxa"/>
            <w:shd w:val="clear" w:color="auto" w:fill="EAF1DD" w:themeFill="accent3" w:themeFillTint="33"/>
            <w:noWrap/>
            <w:hideMark/>
          </w:tcPr>
          <w:p w14:paraId="77A06DBC" w14:textId="77777777" w:rsidR="00B57124" w:rsidRPr="00B57124" w:rsidRDefault="00B57124" w:rsidP="00B57124">
            <w:pPr>
              <w:spacing w:after="0"/>
              <w:jc w:val="center"/>
              <w:rPr>
                <w:b/>
                <w:bCs/>
                <w:sz w:val="18"/>
                <w:szCs w:val="18"/>
              </w:rPr>
            </w:pPr>
            <w:r w:rsidRPr="00B57124">
              <w:rPr>
                <w:b/>
                <w:bCs/>
                <w:sz w:val="18"/>
                <w:szCs w:val="18"/>
              </w:rPr>
              <w:t>2</w:t>
            </w:r>
          </w:p>
        </w:tc>
        <w:tc>
          <w:tcPr>
            <w:tcW w:w="5089" w:type="dxa"/>
            <w:gridSpan w:val="2"/>
            <w:shd w:val="clear" w:color="auto" w:fill="EAF1DD" w:themeFill="accent3" w:themeFillTint="33"/>
            <w:noWrap/>
            <w:hideMark/>
          </w:tcPr>
          <w:p w14:paraId="609EAA86" w14:textId="6BF49829" w:rsidR="00B57124" w:rsidRPr="00B57124" w:rsidRDefault="00B57124" w:rsidP="00B57124">
            <w:pPr>
              <w:spacing w:after="0"/>
              <w:jc w:val="left"/>
              <w:rPr>
                <w:b/>
                <w:bCs/>
                <w:sz w:val="18"/>
                <w:szCs w:val="18"/>
              </w:rPr>
            </w:pPr>
            <w:r w:rsidRPr="00B57124">
              <w:rPr>
                <w:b/>
                <w:bCs/>
                <w:sz w:val="18"/>
                <w:szCs w:val="18"/>
              </w:rPr>
              <w:t>Durmitor-Ring (</w:t>
            </w:r>
            <w:proofErr w:type="spellStart"/>
            <w:r w:rsidRPr="00B57124">
              <w:rPr>
                <w:b/>
                <w:bCs/>
                <w:sz w:val="18"/>
                <w:szCs w:val="18"/>
              </w:rPr>
              <w:t>Durmitorski</w:t>
            </w:r>
            <w:proofErr w:type="spellEnd"/>
            <w:r w:rsidRPr="00B57124">
              <w:rPr>
                <w:b/>
                <w:bCs/>
                <w:sz w:val="18"/>
                <w:szCs w:val="18"/>
              </w:rPr>
              <w:t xml:space="preserve"> </w:t>
            </w:r>
            <w:proofErr w:type="spellStart"/>
            <w:r w:rsidRPr="00B57124">
              <w:rPr>
                <w:b/>
                <w:bCs/>
                <w:sz w:val="18"/>
                <w:szCs w:val="18"/>
              </w:rPr>
              <w:t>prsten</w:t>
            </w:r>
            <w:proofErr w:type="spellEnd"/>
            <w:r w:rsidRPr="00B57124">
              <w:rPr>
                <w:b/>
                <w:bCs/>
                <w:sz w:val="18"/>
                <w:szCs w:val="18"/>
              </w:rPr>
              <w:t>)</w:t>
            </w:r>
          </w:p>
        </w:tc>
        <w:tc>
          <w:tcPr>
            <w:tcW w:w="1465" w:type="dxa"/>
            <w:shd w:val="clear" w:color="auto" w:fill="EAF1DD" w:themeFill="accent3" w:themeFillTint="33"/>
            <w:vAlign w:val="center"/>
          </w:tcPr>
          <w:p w14:paraId="53AF2DA6" w14:textId="2995E8D8" w:rsidR="00B57124" w:rsidRPr="00B57124" w:rsidRDefault="00B57124" w:rsidP="00B57124">
            <w:pPr>
              <w:spacing w:after="0"/>
              <w:jc w:val="center"/>
              <w:rPr>
                <w:b/>
                <w:bCs/>
                <w:sz w:val="18"/>
                <w:szCs w:val="18"/>
              </w:rPr>
            </w:pPr>
            <w:r>
              <w:rPr>
                <w:b/>
                <w:bCs/>
                <w:sz w:val="18"/>
                <w:szCs w:val="18"/>
              </w:rPr>
              <w:t>2019</w:t>
            </w:r>
          </w:p>
        </w:tc>
        <w:tc>
          <w:tcPr>
            <w:tcW w:w="1370" w:type="dxa"/>
            <w:shd w:val="clear" w:color="auto" w:fill="EAF1DD" w:themeFill="accent3" w:themeFillTint="33"/>
            <w:noWrap/>
            <w:hideMark/>
          </w:tcPr>
          <w:p w14:paraId="4200BFCE" w14:textId="1199C88B" w:rsidR="00B57124" w:rsidRPr="00B57124" w:rsidRDefault="00B57124" w:rsidP="00B57124">
            <w:pPr>
              <w:spacing w:after="0"/>
              <w:jc w:val="right"/>
              <w:rPr>
                <w:b/>
                <w:bCs/>
                <w:sz w:val="18"/>
                <w:szCs w:val="18"/>
              </w:rPr>
            </w:pPr>
            <w:r w:rsidRPr="00B57124">
              <w:rPr>
                <w:b/>
                <w:bCs/>
                <w:sz w:val="18"/>
                <w:szCs w:val="18"/>
              </w:rPr>
              <w:t>76,0</w:t>
            </w:r>
          </w:p>
        </w:tc>
      </w:tr>
      <w:tr w:rsidR="00B57124" w:rsidRPr="00B57124" w14:paraId="3A77BF6D" w14:textId="77777777" w:rsidTr="007D53AA">
        <w:trPr>
          <w:trHeight w:val="227"/>
        </w:trPr>
        <w:tc>
          <w:tcPr>
            <w:tcW w:w="1148" w:type="dxa"/>
            <w:shd w:val="clear" w:color="auto" w:fill="auto"/>
            <w:noWrap/>
          </w:tcPr>
          <w:p w14:paraId="685A050A" w14:textId="77777777" w:rsidR="00B57124" w:rsidRPr="00B57124" w:rsidRDefault="00B57124" w:rsidP="00B57124">
            <w:pPr>
              <w:spacing w:after="0"/>
              <w:jc w:val="center"/>
              <w:rPr>
                <w:b/>
                <w:bCs/>
                <w:sz w:val="18"/>
                <w:szCs w:val="18"/>
              </w:rPr>
            </w:pPr>
          </w:p>
        </w:tc>
        <w:tc>
          <w:tcPr>
            <w:tcW w:w="5089" w:type="dxa"/>
            <w:gridSpan w:val="2"/>
            <w:shd w:val="clear" w:color="auto" w:fill="auto"/>
            <w:noWrap/>
          </w:tcPr>
          <w:p w14:paraId="60804AFD" w14:textId="77777777" w:rsidR="00B57124" w:rsidRPr="00B57124" w:rsidRDefault="00B57124" w:rsidP="00B57124">
            <w:pPr>
              <w:spacing w:after="0"/>
              <w:jc w:val="left"/>
              <w:rPr>
                <w:b/>
                <w:bCs/>
                <w:sz w:val="18"/>
                <w:szCs w:val="18"/>
              </w:rPr>
            </w:pPr>
          </w:p>
        </w:tc>
        <w:tc>
          <w:tcPr>
            <w:tcW w:w="1465" w:type="dxa"/>
            <w:vAlign w:val="center"/>
          </w:tcPr>
          <w:p w14:paraId="2E0C39C5" w14:textId="77777777" w:rsidR="00B57124" w:rsidRPr="00B57124" w:rsidRDefault="00B57124" w:rsidP="00B57124">
            <w:pPr>
              <w:spacing w:after="0"/>
              <w:jc w:val="center"/>
              <w:rPr>
                <w:b/>
                <w:bCs/>
                <w:sz w:val="18"/>
                <w:szCs w:val="18"/>
              </w:rPr>
            </w:pPr>
          </w:p>
        </w:tc>
        <w:tc>
          <w:tcPr>
            <w:tcW w:w="1370" w:type="dxa"/>
            <w:shd w:val="clear" w:color="auto" w:fill="auto"/>
            <w:noWrap/>
          </w:tcPr>
          <w:p w14:paraId="34C9BD81" w14:textId="02771924" w:rsidR="00B57124" w:rsidRPr="00B57124" w:rsidRDefault="00B57124" w:rsidP="00B57124">
            <w:pPr>
              <w:spacing w:after="0"/>
              <w:jc w:val="right"/>
              <w:rPr>
                <w:b/>
                <w:bCs/>
                <w:sz w:val="18"/>
                <w:szCs w:val="18"/>
              </w:rPr>
            </w:pPr>
          </w:p>
        </w:tc>
      </w:tr>
      <w:tr w:rsidR="00B57124" w:rsidRPr="00B57124" w14:paraId="6A845D0C" w14:textId="77777777" w:rsidTr="007D53AA">
        <w:trPr>
          <w:trHeight w:val="227"/>
        </w:trPr>
        <w:tc>
          <w:tcPr>
            <w:tcW w:w="1148" w:type="dxa"/>
            <w:shd w:val="clear" w:color="auto" w:fill="EAF1DD" w:themeFill="accent3" w:themeFillTint="33"/>
            <w:noWrap/>
            <w:hideMark/>
          </w:tcPr>
          <w:p w14:paraId="5708B7FE" w14:textId="77777777" w:rsidR="00B57124" w:rsidRPr="00B57124" w:rsidRDefault="00B57124" w:rsidP="00B57124">
            <w:pPr>
              <w:spacing w:after="0"/>
              <w:jc w:val="center"/>
              <w:rPr>
                <w:b/>
                <w:bCs/>
                <w:sz w:val="18"/>
                <w:szCs w:val="18"/>
              </w:rPr>
            </w:pPr>
            <w:r w:rsidRPr="00B57124">
              <w:rPr>
                <w:b/>
                <w:bCs/>
                <w:sz w:val="18"/>
                <w:szCs w:val="18"/>
              </w:rPr>
              <w:t>3</w:t>
            </w:r>
          </w:p>
        </w:tc>
        <w:tc>
          <w:tcPr>
            <w:tcW w:w="5089" w:type="dxa"/>
            <w:gridSpan w:val="2"/>
            <w:shd w:val="clear" w:color="auto" w:fill="EAF1DD" w:themeFill="accent3" w:themeFillTint="33"/>
            <w:noWrap/>
            <w:hideMark/>
          </w:tcPr>
          <w:p w14:paraId="04877F91" w14:textId="20833BC7" w:rsidR="00B57124" w:rsidRPr="00B57124" w:rsidRDefault="00B57124" w:rsidP="00B57124">
            <w:pPr>
              <w:spacing w:after="0"/>
              <w:jc w:val="left"/>
              <w:rPr>
                <w:b/>
                <w:bCs/>
                <w:sz w:val="18"/>
                <w:szCs w:val="18"/>
              </w:rPr>
            </w:pPr>
            <w:r w:rsidRPr="00B57124">
              <w:rPr>
                <w:b/>
                <w:bCs/>
                <w:sz w:val="18"/>
                <w:szCs w:val="18"/>
              </w:rPr>
              <w:t>Die Berge und das Meer (</w:t>
            </w:r>
            <w:r w:rsidRPr="00B57124">
              <w:rPr>
                <w:b/>
                <w:bCs/>
                <w:sz w:val="18"/>
                <w:szCs w:val="18"/>
              </w:rPr>
              <w:t xml:space="preserve">More i </w:t>
            </w:r>
            <w:proofErr w:type="spellStart"/>
            <w:r w:rsidRPr="00B57124">
              <w:rPr>
                <w:b/>
                <w:bCs/>
                <w:sz w:val="18"/>
                <w:szCs w:val="18"/>
              </w:rPr>
              <w:t>visine</w:t>
            </w:r>
            <w:proofErr w:type="spellEnd"/>
            <w:r w:rsidRPr="00B57124">
              <w:rPr>
                <w:b/>
                <w:bCs/>
                <w:sz w:val="18"/>
                <w:szCs w:val="18"/>
              </w:rPr>
              <w:t>)</w:t>
            </w:r>
          </w:p>
        </w:tc>
        <w:tc>
          <w:tcPr>
            <w:tcW w:w="1465" w:type="dxa"/>
            <w:shd w:val="clear" w:color="auto" w:fill="EAF1DD" w:themeFill="accent3" w:themeFillTint="33"/>
            <w:vAlign w:val="center"/>
          </w:tcPr>
          <w:p w14:paraId="74CDAA8B" w14:textId="6888A5A8" w:rsidR="00B57124" w:rsidRPr="00B57124" w:rsidRDefault="00B57124" w:rsidP="00B57124">
            <w:pPr>
              <w:spacing w:after="0"/>
              <w:jc w:val="center"/>
              <w:rPr>
                <w:b/>
                <w:bCs/>
                <w:sz w:val="18"/>
                <w:szCs w:val="18"/>
              </w:rPr>
            </w:pPr>
            <w:r>
              <w:rPr>
                <w:b/>
                <w:bCs/>
                <w:sz w:val="18"/>
                <w:szCs w:val="18"/>
              </w:rPr>
              <w:t>2020</w:t>
            </w:r>
          </w:p>
        </w:tc>
        <w:tc>
          <w:tcPr>
            <w:tcW w:w="1370" w:type="dxa"/>
            <w:shd w:val="clear" w:color="auto" w:fill="EAF1DD" w:themeFill="accent3" w:themeFillTint="33"/>
            <w:noWrap/>
            <w:hideMark/>
          </w:tcPr>
          <w:p w14:paraId="5D358D8E" w14:textId="2610FD2F" w:rsidR="00B57124" w:rsidRPr="00B57124" w:rsidRDefault="00B57124" w:rsidP="00B57124">
            <w:pPr>
              <w:spacing w:after="0"/>
              <w:jc w:val="right"/>
              <w:rPr>
                <w:b/>
                <w:bCs/>
                <w:sz w:val="18"/>
                <w:szCs w:val="18"/>
              </w:rPr>
            </w:pPr>
            <w:r w:rsidRPr="00B57124">
              <w:rPr>
                <w:b/>
                <w:bCs/>
                <w:sz w:val="18"/>
                <w:szCs w:val="18"/>
              </w:rPr>
              <w:t>270,0</w:t>
            </w:r>
          </w:p>
        </w:tc>
      </w:tr>
      <w:tr w:rsidR="00B57124" w:rsidRPr="00B57124" w14:paraId="7AE16E99" w14:textId="77777777" w:rsidTr="007D53AA">
        <w:trPr>
          <w:trHeight w:val="227"/>
        </w:trPr>
        <w:tc>
          <w:tcPr>
            <w:tcW w:w="1148" w:type="dxa"/>
            <w:noWrap/>
            <w:hideMark/>
          </w:tcPr>
          <w:p w14:paraId="72F274BE" w14:textId="77777777" w:rsidR="00B57124" w:rsidRPr="00B57124" w:rsidRDefault="00B57124" w:rsidP="00B57124">
            <w:pPr>
              <w:spacing w:after="0"/>
              <w:jc w:val="center"/>
              <w:rPr>
                <w:sz w:val="18"/>
                <w:szCs w:val="18"/>
              </w:rPr>
            </w:pPr>
            <w:r w:rsidRPr="00B57124">
              <w:rPr>
                <w:sz w:val="18"/>
                <w:szCs w:val="18"/>
              </w:rPr>
              <w:t>3A</w:t>
            </w:r>
          </w:p>
        </w:tc>
        <w:tc>
          <w:tcPr>
            <w:tcW w:w="5089" w:type="dxa"/>
            <w:gridSpan w:val="2"/>
            <w:noWrap/>
            <w:hideMark/>
          </w:tcPr>
          <w:p w14:paraId="5A757FA1" w14:textId="573743D0" w:rsidR="00B57124" w:rsidRPr="00B57124" w:rsidRDefault="00B57124" w:rsidP="00B57124">
            <w:pPr>
              <w:spacing w:after="0"/>
              <w:jc w:val="left"/>
              <w:rPr>
                <w:sz w:val="18"/>
                <w:szCs w:val="18"/>
              </w:rPr>
            </w:pPr>
            <w:r w:rsidRPr="00B57124">
              <w:rPr>
                <w:sz w:val="18"/>
                <w:szCs w:val="18"/>
              </w:rPr>
              <w:t>Verbindung</w:t>
            </w:r>
            <w:r w:rsidRPr="00B57124">
              <w:rPr>
                <w:sz w:val="18"/>
                <w:szCs w:val="18"/>
              </w:rPr>
              <w:t xml:space="preserve"> Boka - </w:t>
            </w:r>
            <w:proofErr w:type="spellStart"/>
            <w:r w:rsidRPr="00B57124">
              <w:rPr>
                <w:sz w:val="18"/>
                <w:szCs w:val="18"/>
              </w:rPr>
              <w:t>Nikšić</w:t>
            </w:r>
            <w:proofErr w:type="spellEnd"/>
          </w:p>
        </w:tc>
        <w:tc>
          <w:tcPr>
            <w:tcW w:w="1465" w:type="dxa"/>
            <w:vAlign w:val="center"/>
          </w:tcPr>
          <w:p w14:paraId="5E33BF5B" w14:textId="77777777" w:rsidR="00B57124" w:rsidRPr="00B57124" w:rsidRDefault="00B57124" w:rsidP="00B57124">
            <w:pPr>
              <w:spacing w:after="0"/>
              <w:jc w:val="center"/>
              <w:rPr>
                <w:sz w:val="18"/>
                <w:szCs w:val="18"/>
              </w:rPr>
            </w:pPr>
          </w:p>
        </w:tc>
        <w:tc>
          <w:tcPr>
            <w:tcW w:w="1370" w:type="dxa"/>
            <w:noWrap/>
            <w:hideMark/>
          </w:tcPr>
          <w:p w14:paraId="68AE1ED3" w14:textId="111498BA" w:rsidR="00B57124" w:rsidRPr="00B57124" w:rsidRDefault="00B57124" w:rsidP="00B57124">
            <w:pPr>
              <w:spacing w:after="0"/>
              <w:jc w:val="right"/>
              <w:rPr>
                <w:sz w:val="18"/>
                <w:szCs w:val="18"/>
              </w:rPr>
            </w:pPr>
            <w:r w:rsidRPr="00B57124">
              <w:rPr>
                <w:sz w:val="18"/>
                <w:szCs w:val="18"/>
              </w:rPr>
              <w:t>72,0</w:t>
            </w:r>
          </w:p>
        </w:tc>
      </w:tr>
      <w:tr w:rsidR="00B57124" w:rsidRPr="00B57124" w14:paraId="7D726FC9" w14:textId="77777777" w:rsidTr="007D53AA">
        <w:trPr>
          <w:trHeight w:val="227"/>
        </w:trPr>
        <w:tc>
          <w:tcPr>
            <w:tcW w:w="1148" w:type="dxa"/>
            <w:shd w:val="clear" w:color="auto" w:fill="BFBFBF" w:themeFill="background1" w:themeFillShade="BF"/>
            <w:noWrap/>
            <w:hideMark/>
          </w:tcPr>
          <w:p w14:paraId="355CDDA4" w14:textId="77777777" w:rsidR="00B57124" w:rsidRPr="00B57124" w:rsidRDefault="00B57124" w:rsidP="00B57124">
            <w:pPr>
              <w:spacing w:after="0"/>
              <w:jc w:val="center"/>
              <w:rPr>
                <w:sz w:val="18"/>
                <w:szCs w:val="18"/>
              </w:rPr>
            </w:pPr>
            <w:r w:rsidRPr="00B57124">
              <w:rPr>
                <w:sz w:val="18"/>
                <w:szCs w:val="18"/>
              </w:rPr>
              <w:t>3B</w:t>
            </w:r>
          </w:p>
        </w:tc>
        <w:tc>
          <w:tcPr>
            <w:tcW w:w="5089" w:type="dxa"/>
            <w:gridSpan w:val="2"/>
            <w:shd w:val="clear" w:color="auto" w:fill="BFBFBF" w:themeFill="background1" w:themeFillShade="BF"/>
            <w:noWrap/>
            <w:hideMark/>
          </w:tcPr>
          <w:p w14:paraId="46AFB25F" w14:textId="77777777" w:rsidR="00B57124" w:rsidRPr="00B57124" w:rsidRDefault="00B57124" w:rsidP="00B57124">
            <w:pPr>
              <w:spacing w:after="0"/>
              <w:jc w:val="left"/>
              <w:rPr>
                <w:sz w:val="18"/>
                <w:szCs w:val="18"/>
              </w:rPr>
            </w:pPr>
            <w:r w:rsidRPr="00B57124">
              <w:rPr>
                <w:sz w:val="18"/>
                <w:szCs w:val="18"/>
              </w:rPr>
              <w:t xml:space="preserve">Alternative Route Cetinje - </w:t>
            </w:r>
            <w:proofErr w:type="spellStart"/>
            <w:r w:rsidRPr="00B57124">
              <w:rPr>
                <w:sz w:val="18"/>
                <w:szCs w:val="18"/>
              </w:rPr>
              <w:t>Virpazar</w:t>
            </w:r>
            <w:proofErr w:type="spellEnd"/>
          </w:p>
        </w:tc>
        <w:tc>
          <w:tcPr>
            <w:tcW w:w="1465" w:type="dxa"/>
            <w:shd w:val="clear" w:color="auto" w:fill="BFBFBF" w:themeFill="background1" w:themeFillShade="BF"/>
            <w:vAlign w:val="center"/>
          </w:tcPr>
          <w:p w14:paraId="10724E5B" w14:textId="77777777" w:rsidR="00B57124" w:rsidRPr="00B57124" w:rsidRDefault="00B57124" w:rsidP="00B57124">
            <w:pPr>
              <w:spacing w:after="0"/>
              <w:jc w:val="center"/>
              <w:rPr>
                <w:sz w:val="18"/>
                <w:szCs w:val="18"/>
              </w:rPr>
            </w:pPr>
          </w:p>
        </w:tc>
        <w:tc>
          <w:tcPr>
            <w:tcW w:w="1370" w:type="dxa"/>
            <w:shd w:val="clear" w:color="auto" w:fill="BFBFBF" w:themeFill="background1" w:themeFillShade="BF"/>
            <w:noWrap/>
            <w:hideMark/>
          </w:tcPr>
          <w:p w14:paraId="5D5ABF86" w14:textId="0240F136" w:rsidR="00B57124" w:rsidRPr="00B57124" w:rsidRDefault="00B57124" w:rsidP="00B57124">
            <w:pPr>
              <w:spacing w:after="0"/>
              <w:jc w:val="right"/>
              <w:rPr>
                <w:sz w:val="18"/>
                <w:szCs w:val="18"/>
              </w:rPr>
            </w:pPr>
            <w:r w:rsidRPr="00B57124">
              <w:rPr>
                <w:sz w:val="18"/>
                <w:szCs w:val="18"/>
              </w:rPr>
              <w:t>38,0</w:t>
            </w:r>
          </w:p>
        </w:tc>
      </w:tr>
      <w:tr w:rsidR="00B57124" w:rsidRPr="00B57124" w14:paraId="46F61423" w14:textId="77777777" w:rsidTr="007D53AA">
        <w:trPr>
          <w:trHeight w:val="227"/>
        </w:trPr>
        <w:tc>
          <w:tcPr>
            <w:tcW w:w="1148" w:type="dxa"/>
            <w:noWrap/>
            <w:hideMark/>
          </w:tcPr>
          <w:p w14:paraId="2A3778BE" w14:textId="77777777" w:rsidR="00B57124" w:rsidRPr="00B57124" w:rsidRDefault="00B57124" w:rsidP="00B57124">
            <w:pPr>
              <w:spacing w:after="0"/>
              <w:jc w:val="center"/>
              <w:rPr>
                <w:sz w:val="18"/>
                <w:szCs w:val="18"/>
              </w:rPr>
            </w:pPr>
            <w:r w:rsidRPr="00B57124">
              <w:rPr>
                <w:sz w:val="18"/>
                <w:szCs w:val="18"/>
              </w:rPr>
              <w:t>3C</w:t>
            </w:r>
          </w:p>
        </w:tc>
        <w:tc>
          <w:tcPr>
            <w:tcW w:w="5089" w:type="dxa"/>
            <w:gridSpan w:val="2"/>
            <w:noWrap/>
            <w:hideMark/>
          </w:tcPr>
          <w:p w14:paraId="2D1FDB47" w14:textId="1B926DA2" w:rsidR="00B57124" w:rsidRPr="00B57124" w:rsidRDefault="00B57124" w:rsidP="00B57124">
            <w:pPr>
              <w:spacing w:after="0"/>
              <w:jc w:val="left"/>
              <w:rPr>
                <w:sz w:val="18"/>
                <w:szCs w:val="18"/>
              </w:rPr>
            </w:pPr>
            <w:r w:rsidRPr="00B57124">
              <w:rPr>
                <w:sz w:val="18"/>
                <w:szCs w:val="18"/>
              </w:rPr>
              <w:t xml:space="preserve">Verbindung </w:t>
            </w:r>
            <w:proofErr w:type="spellStart"/>
            <w:r w:rsidRPr="00B57124">
              <w:rPr>
                <w:sz w:val="18"/>
                <w:szCs w:val="18"/>
              </w:rPr>
              <w:t>Virpazar</w:t>
            </w:r>
            <w:proofErr w:type="spellEnd"/>
            <w:r w:rsidRPr="00B57124">
              <w:rPr>
                <w:sz w:val="18"/>
                <w:szCs w:val="18"/>
              </w:rPr>
              <w:t xml:space="preserve"> - Podgorica</w:t>
            </w:r>
          </w:p>
        </w:tc>
        <w:tc>
          <w:tcPr>
            <w:tcW w:w="1465" w:type="dxa"/>
            <w:vAlign w:val="center"/>
          </w:tcPr>
          <w:p w14:paraId="5CCBC0EF" w14:textId="77777777" w:rsidR="00B57124" w:rsidRPr="00B57124" w:rsidRDefault="00B57124" w:rsidP="00B57124">
            <w:pPr>
              <w:spacing w:after="0"/>
              <w:jc w:val="center"/>
              <w:rPr>
                <w:sz w:val="18"/>
                <w:szCs w:val="18"/>
              </w:rPr>
            </w:pPr>
          </w:p>
        </w:tc>
        <w:tc>
          <w:tcPr>
            <w:tcW w:w="1370" w:type="dxa"/>
            <w:noWrap/>
            <w:hideMark/>
          </w:tcPr>
          <w:p w14:paraId="3A2C0CDC" w14:textId="0C34B335" w:rsidR="00B57124" w:rsidRPr="00B57124" w:rsidRDefault="00B57124" w:rsidP="00B57124">
            <w:pPr>
              <w:spacing w:after="0"/>
              <w:jc w:val="right"/>
              <w:rPr>
                <w:sz w:val="18"/>
                <w:szCs w:val="18"/>
              </w:rPr>
            </w:pPr>
            <w:r w:rsidRPr="00B57124">
              <w:rPr>
                <w:sz w:val="18"/>
                <w:szCs w:val="18"/>
              </w:rPr>
              <w:t>30,9</w:t>
            </w:r>
          </w:p>
        </w:tc>
      </w:tr>
      <w:tr w:rsidR="00B57124" w:rsidRPr="00B57124" w14:paraId="22B967DA" w14:textId="77777777" w:rsidTr="007D53AA">
        <w:trPr>
          <w:trHeight w:val="227"/>
        </w:trPr>
        <w:tc>
          <w:tcPr>
            <w:tcW w:w="1148" w:type="dxa"/>
            <w:shd w:val="clear" w:color="auto" w:fill="BFBFBF" w:themeFill="background1" w:themeFillShade="BF"/>
            <w:noWrap/>
            <w:hideMark/>
          </w:tcPr>
          <w:p w14:paraId="696F4FBD" w14:textId="77777777" w:rsidR="00B57124" w:rsidRPr="00B57124" w:rsidRDefault="00B57124" w:rsidP="00B57124">
            <w:pPr>
              <w:spacing w:after="0"/>
              <w:jc w:val="center"/>
              <w:rPr>
                <w:sz w:val="18"/>
                <w:szCs w:val="18"/>
              </w:rPr>
            </w:pPr>
            <w:r w:rsidRPr="00B57124">
              <w:rPr>
                <w:sz w:val="18"/>
                <w:szCs w:val="18"/>
              </w:rPr>
              <w:t>3D</w:t>
            </w:r>
          </w:p>
        </w:tc>
        <w:tc>
          <w:tcPr>
            <w:tcW w:w="5089" w:type="dxa"/>
            <w:gridSpan w:val="2"/>
            <w:shd w:val="clear" w:color="auto" w:fill="BFBFBF" w:themeFill="background1" w:themeFillShade="BF"/>
            <w:noWrap/>
            <w:hideMark/>
          </w:tcPr>
          <w:p w14:paraId="6E52FB5F" w14:textId="09A17D58" w:rsidR="00B57124" w:rsidRPr="00B57124" w:rsidRDefault="00B57124" w:rsidP="00B57124">
            <w:pPr>
              <w:spacing w:after="0"/>
              <w:jc w:val="left"/>
              <w:rPr>
                <w:sz w:val="18"/>
                <w:szCs w:val="18"/>
              </w:rPr>
            </w:pPr>
            <w:r w:rsidRPr="00B57124">
              <w:rPr>
                <w:sz w:val="18"/>
                <w:szCs w:val="18"/>
              </w:rPr>
              <w:t xml:space="preserve">Verbindung Bar - </w:t>
            </w:r>
            <w:proofErr w:type="spellStart"/>
            <w:r w:rsidRPr="00B57124">
              <w:rPr>
                <w:sz w:val="18"/>
                <w:szCs w:val="18"/>
              </w:rPr>
              <w:t>Virpazar</w:t>
            </w:r>
            <w:proofErr w:type="spellEnd"/>
          </w:p>
        </w:tc>
        <w:tc>
          <w:tcPr>
            <w:tcW w:w="1465" w:type="dxa"/>
            <w:shd w:val="clear" w:color="auto" w:fill="BFBFBF" w:themeFill="background1" w:themeFillShade="BF"/>
            <w:vAlign w:val="center"/>
          </w:tcPr>
          <w:p w14:paraId="3EE380C2" w14:textId="77777777" w:rsidR="00B57124" w:rsidRPr="00B57124" w:rsidRDefault="00B57124" w:rsidP="00B57124">
            <w:pPr>
              <w:spacing w:after="0"/>
              <w:jc w:val="center"/>
              <w:rPr>
                <w:sz w:val="18"/>
                <w:szCs w:val="18"/>
              </w:rPr>
            </w:pPr>
          </w:p>
        </w:tc>
        <w:tc>
          <w:tcPr>
            <w:tcW w:w="1370" w:type="dxa"/>
            <w:shd w:val="clear" w:color="auto" w:fill="BFBFBF" w:themeFill="background1" w:themeFillShade="BF"/>
            <w:noWrap/>
            <w:hideMark/>
          </w:tcPr>
          <w:p w14:paraId="00825311" w14:textId="0FB57202" w:rsidR="00B57124" w:rsidRPr="00B57124" w:rsidRDefault="00B57124" w:rsidP="00B57124">
            <w:pPr>
              <w:spacing w:after="0"/>
              <w:jc w:val="right"/>
              <w:rPr>
                <w:sz w:val="18"/>
                <w:szCs w:val="18"/>
              </w:rPr>
            </w:pPr>
            <w:r w:rsidRPr="00B57124">
              <w:rPr>
                <w:sz w:val="18"/>
                <w:szCs w:val="18"/>
              </w:rPr>
              <w:t>30,5</w:t>
            </w:r>
          </w:p>
        </w:tc>
      </w:tr>
      <w:tr w:rsidR="00B57124" w:rsidRPr="00B57124" w14:paraId="4F7E9016" w14:textId="77777777" w:rsidTr="007D53AA">
        <w:trPr>
          <w:trHeight w:val="227"/>
        </w:trPr>
        <w:tc>
          <w:tcPr>
            <w:tcW w:w="1148" w:type="dxa"/>
            <w:shd w:val="clear" w:color="auto" w:fill="auto"/>
            <w:noWrap/>
          </w:tcPr>
          <w:p w14:paraId="60E44118" w14:textId="77777777" w:rsidR="00B57124" w:rsidRPr="00B57124" w:rsidRDefault="00B57124" w:rsidP="00B57124">
            <w:pPr>
              <w:spacing w:after="0"/>
              <w:jc w:val="center"/>
              <w:rPr>
                <w:sz w:val="18"/>
                <w:szCs w:val="18"/>
              </w:rPr>
            </w:pPr>
          </w:p>
        </w:tc>
        <w:tc>
          <w:tcPr>
            <w:tcW w:w="5089" w:type="dxa"/>
            <w:gridSpan w:val="2"/>
            <w:shd w:val="clear" w:color="auto" w:fill="auto"/>
            <w:noWrap/>
          </w:tcPr>
          <w:p w14:paraId="2FA228F6" w14:textId="77777777" w:rsidR="00B57124" w:rsidRPr="00B57124" w:rsidRDefault="00B57124" w:rsidP="00B57124">
            <w:pPr>
              <w:spacing w:after="0"/>
              <w:jc w:val="left"/>
              <w:rPr>
                <w:sz w:val="18"/>
                <w:szCs w:val="18"/>
              </w:rPr>
            </w:pPr>
          </w:p>
        </w:tc>
        <w:tc>
          <w:tcPr>
            <w:tcW w:w="1465" w:type="dxa"/>
            <w:vAlign w:val="center"/>
          </w:tcPr>
          <w:p w14:paraId="0561D4CC" w14:textId="77777777" w:rsidR="00B57124" w:rsidRPr="00B57124" w:rsidRDefault="00B57124" w:rsidP="00B57124">
            <w:pPr>
              <w:spacing w:after="0"/>
              <w:jc w:val="center"/>
              <w:rPr>
                <w:sz w:val="18"/>
                <w:szCs w:val="18"/>
              </w:rPr>
            </w:pPr>
          </w:p>
        </w:tc>
        <w:tc>
          <w:tcPr>
            <w:tcW w:w="1370" w:type="dxa"/>
            <w:shd w:val="clear" w:color="auto" w:fill="auto"/>
            <w:noWrap/>
          </w:tcPr>
          <w:p w14:paraId="7B0A26C7" w14:textId="38CF57A3" w:rsidR="00B57124" w:rsidRPr="00B57124" w:rsidRDefault="00B57124" w:rsidP="00B57124">
            <w:pPr>
              <w:spacing w:after="0"/>
              <w:jc w:val="right"/>
              <w:rPr>
                <w:sz w:val="18"/>
                <w:szCs w:val="18"/>
              </w:rPr>
            </w:pPr>
          </w:p>
        </w:tc>
      </w:tr>
      <w:tr w:rsidR="00B57124" w:rsidRPr="00B57124" w14:paraId="6BA5B217" w14:textId="77777777" w:rsidTr="007D53AA">
        <w:trPr>
          <w:trHeight w:val="227"/>
        </w:trPr>
        <w:tc>
          <w:tcPr>
            <w:tcW w:w="1148" w:type="dxa"/>
            <w:shd w:val="clear" w:color="auto" w:fill="EAF1DD" w:themeFill="accent3" w:themeFillTint="33"/>
            <w:noWrap/>
            <w:hideMark/>
          </w:tcPr>
          <w:p w14:paraId="3DD1E446" w14:textId="77777777" w:rsidR="00B57124" w:rsidRPr="00B57124" w:rsidRDefault="00B57124" w:rsidP="00B57124">
            <w:pPr>
              <w:spacing w:after="0"/>
              <w:jc w:val="center"/>
              <w:rPr>
                <w:b/>
                <w:bCs/>
                <w:sz w:val="18"/>
                <w:szCs w:val="18"/>
              </w:rPr>
            </w:pPr>
            <w:r w:rsidRPr="00B57124">
              <w:rPr>
                <w:b/>
                <w:bCs/>
                <w:sz w:val="18"/>
                <w:szCs w:val="18"/>
              </w:rPr>
              <w:t>4</w:t>
            </w:r>
          </w:p>
        </w:tc>
        <w:tc>
          <w:tcPr>
            <w:tcW w:w="5089" w:type="dxa"/>
            <w:gridSpan w:val="2"/>
            <w:shd w:val="clear" w:color="auto" w:fill="EAF1DD" w:themeFill="accent3" w:themeFillTint="33"/>
            <w:noWrap/>
            <w:hideMark/>
          </w:tcPr>
          <w:p w14:paraId="382F1ABF" w14:textId="6C5D7C84" w:rsidR="00B57124" w:rsidRPr="00B57124" w:rsidRDefault="00B57124" w:rsidP="00B57124">
            <w:pPr>
              <w:spacing w:after="0"/>
              <w:jc w:val="left"/>
              <w:rPr>
                <w:b/>
                <w:bCs/>
                <w:sz w:val="18"/>
                <w:szCs w:val="18"/>
              </w:rPr>
            </w:pPr>
            <w:r w:rsidRPr="00B57124">
              <w:rPr>
                <w:b/>
                <w:bCs/>
                <w:sz w:val="18"/>
                <w:szCs w:val="18"/>
              </w:rPr>
              <w:t xml:space="preserve">Die Runde über </w:t>
            </w:r>
            <w:proofErr w:type="spellStart"/>
            <w:r w:rsidRPr="00B57124">
              <w:rPr>
                <w:b/>
                <w:bCs/>
                <w:sz w:val="18"/>
                <w:szCs w:val="18"/>
              </w:rPr>
              <w:t>Korita</w:t>
            </w:r>
            <w:proofErr w:type="spellEnd"/>
            <w:r w:rsidRPr="00B57124">
              <w:rPr>
                <w:b/>
                <w:bCs/>
                <w:sz w:val="18"/>
                <w:szCs w:val="18"/>
              </w:rPr>
              <w:t xml:space="preserve"> (</w:t>
            </w:r>
            <w:r w:rsidRPr="00B57124">
              <w:rPr>
                <w:b/>
                <w:bCs/>
                <w:sz w:val="18"/>
                <w:szCs w:val="18"/>
              </w:rPr>
              <w:t xml:space="preserve">Krug </w:t>
            </w:r>
            <w:proofErr w:type="spellStart"/>
            <w:r w:rsidRPr="00B57124">
              <w:rPr>
                <w:b/>
                <w:bCs/>
                <w:sz w:val="18"/>
                <w:szCs w:val="18"/>
              </w:rPr>
              <w:t>oko</w:t>
            </w:r>
            <w:proofErr w:type="spellEnd"/>
            <w:r w:rsidRPr="00B57124">
              <w:rPr>
                <w:b/>
                <w:bCs/>
                <w:sz w:val="18"/>
                <w:szCs w:val="18"/>
              </w:rPr>
              <w:t xml:space="preserve"> </w:t>
            </w:r>
            <w:proofErr w:type="spellStart"/>
            <w:r w:rsidRPr="00B57124">
              <w:rPr>
                <w:b/>
                <w:bCs/>
                <w:sz w:val="18"/>
                <w:szCs w:val="18"/>
              </w:rPr>
              <w:t>Korita</w:t>
            </w:r>
            <w:proofErr w:type="spellEnd"/>
            <w:r w:rsidRPr="00B57124">
              <w:rPr>
                <w:b/>
                <w:bCs/>
                <w:sz w:val="18"/>
                <w:szCs w:val="18"/>
              </w:rPr>
              <w:t>)</w:t>
            </w:r>
          </w:p>
        </w:tc>
        <w:tc>
          <w:tcPr>
            <w:tcW w:w="1465" w:type="dxa"/>
            <w:shd w:val="clear" w:color="auto" w:fill="EAF1DD" w:themeFill="accent3" w:themeFillTint="33"/>
            <w:vAlign w:val="center"/>
          </w:tcPr>
          <w:p w14:paraId="03562939" w14:textId="6C812DE7" w:rsidR="00B57124" w:rsidRPr="00B57124" w:rsidRDefault="00B57124" w:rsidP="00B57124">
            <w:pPr>
              <w:spacing w:after="0"/>
              <w:jc w:val="center"/>
              <w:rPr>
                <w:b/>
                <w:bCs/>
                <w:sz w:val="18"/>
                <w:szCs w:val="18"/>
              </w:rPr>
            </w:pPr>
            <w:r>
              <w:rPr>
                <w:b/>
                <w:bCs/>
                <w:sz w:val="18"/>
                <w:szCs w:val="18"/>
              </w:rPr>
              <w:t>2015</w:t>
            </w:r>
          </w:p>
        </w:tc>
        <w:tc>
          <w:tcPr>
            <w:tcW w:w="1370" w:type="dxa"/>
            <w:shd w:val="clear" w:color="auto" w:fill="EAF1DD" w:themeFill="accent3" w:themeFillTint="33"/>
            <w:noWrap/>
            <w:hideMark/>
          </w:tcPr>
          <w:p w14:paraId="0221F44C" w14:textId="152D3BA7" w:rsidR="00B57124" w:rsidRPr="00B57124" w:rsidRDefault="00B57124" w:rsidP="00B57124">
            <w:pPr>
              <w:spacing w:after="0"/>
              <w:jc w:val="right"/>
              <w:rPr>
                <w:b/>
                <w:bCs/>
                <w:sz w:val="18"/>
                <w:szCs w:val="18"/>
              </w:rPr>
            </w:pPr>
            <w:r w:rsidRPr="00B57124">
              <w:rPr>
                <w:b/>
                <w:bCs/>
                <w:sz w:val="18"/>
                <w:szCs w:val="18"/>
              </w:rPr>
              <w:t>65,0</w:t>
            </w:r>
          </w:p>
        </w:tc>
      </w:tr>
      <w:tr w:rsidR="00B57124" w:rsidRPr="00B57124" w14:paraId="087C2359" w14:textId="77777777" w:rsidTr="007D53AA">
        <w:trPr>
          <w:trHeight w:val="227"/>
        </w:trPr>
        <w:tc>
          <w:tcPr>
            <w:tcW w:w="1401" w:type="dxa"/>
            <w:gridSpan w:val="2"/>
          </w:tcPr>
          <w:p w14:paraId="6ABC95D0" w14:textId="77777777" w:rsidR="00B57124" w:rsidRPr="00B57124" w:rsidRDefault="00B57124" w:rsidP="00B57124">
            <w:pPr>
              <w:spacing w:after="0"/>
              <w:jc w:val="center"/>
              <w:rPr>
                <w:sz w:val="18"/>
                <w:szCs w:val="18"/>
              </w:rPr>
            </w:pPr>
          </w:p>
        </w:tc>
        <w:tc>
          <w:tcPr>
            <w:tcW w:w="7671" w:type="dxa"/>
            <w:gridSpan w:val="3"/>
            <w:noWrap/>
            <w:vAlign w:val="center"/>
            <w:hideMark/>
          </w:tcPr>
          <w:p w14:paraId="4EAE1C2F" w14:textId="1B7821FD" w:rsidR="00B57124" w:rsidRPr="00B57124" w:rsidRDefault="00B57124" w:rsidP="00B57124">
            <w:pPr>
              <w:spacing w:after="0"/>
              <w:jc w:val="center"/>
              <w:rPr>
                <w:sz w:val="18"/>
                <w:szCs w:val="18"/>
              </w:rPr>
            </w:pPr>
          </w:p>
        </w:tc>
      </w:tr>
      <w:tr w:rsidR="007D53AA" w:rsidRPr="00B57124" w14:paraId="0203720E" w14:textId="77777777" w:rsidTr="007D53AA">
        <w:trPr>
          <w:trHeight w:val="227"/>
        </w:trPr>
        <w:tc>
          <w:tcPr>
            <w:tcW w:w="7702" w:type="dxa"/>
            <w:gridSpan w:val="4"/>
            <w:noWrap/>
            <w:vAlign w:val="center"/>
            <w:hideMark/>
          </w:tcPr>
          <w:p w14:paraId="39FAA046" w14:textId="133D7A6C" w:rsidR="007D53AA" w:rsidRPr="00B57124" w:rsidRDefault="007D53AA" w:rsidP="007D53AA">
            <w:pPr>
              <w:spacing w:after="0"/>
              <w:jc w:val="right"/>
              <w:rPr>
                <w:b/>
                <w:bCs/>
                <w:sz w:val="18"/>
                <w:szCs w:val="18"/>
              </w:rPr>
            </w:pPr>
            <w:r w:rsidRPr="00B57124">
              <w:rPr>
                <w:b/>
                <w:bCs/>
                <w:sz w:val="18"/>
                <w:szCs w:val="18"/>
              </w:rPr>
              <w:t>Insgesamt</w:t>
            </w:r>
          </w:p>
        </w:tc>
        <w:tc>
          <w:tcPr>
            <w:tcW w:w="1370" w:type="dxa"/>
            <w:noWrap/>
            <w:hideMark/>
          </w:tcPr>
          <w:p w14:paraId="3FFA57B4" w14:textId="5FCC4186" w:rsidR="007D53AA" w:rsidRPr="00B57124" w:rsidRDefault="007D53AA" w:rsidP="00B57124">
            <w:pPr>
              <w:spacing w:after="0"/>
              <w:jc w:val="right"/>
              <w:rPr>
                <w:b/>
                <w:bCs/>
                <w:sz w:val="18"/>
                <w:szCs w:val="18"/>
              </w:rPr>
            </w:pPr>
            <w:r w:rsidRPr="00B57124">
              <w:rPr>
                <w:b/>
                <w:bCs/>
                <w:sz w:val="18"/>
                <w:szCs w:val="18"/>
              </w:rPr>
              <w:t>1.388,3</w:t>
            </w:r>
          </w:p>
        </w:tc>
      </w:tr>
    </w:tbl>
    <w:p w14:paraId="019CDFD2" w14:textId="77777777" w:rsidR="00B57124" w:rsidRPr="00EF7E42" w:rsidRDefault="00B57124" w:rsidP="00B57124">
      <w:pPr>
        <w:pStyle w:val="berschrift3"/>
      </w:pPr>
      <w:r w:rsidRPr="00EF7E42">
        <w:lastRenderedPageBreak/>
        <w:t>Hinweis</w:t>
      </w:r>
      <w:r>
        <w:t>e</w:t>
      </w:r>
      <w:r w:rsidRPr="00EF7E42">
        <w:t xml:space="preserve"> für die Redaktion</w:t>
      </w:r>
    </w:p>
    <w:p w14:paraId="7A432193" w14:textId="77777777" w:rsidR="00B57124" w:rsidRDefault="00B57124" w:rsidP="00B57124">
      <w:pPr>
        <w:pStyle w:val="Kleingedrucktes"/>
      </w:pPr>
      <w:r w:rsidRPr="00EF7E42">
        <w:t>Diese Pressemitteilung (als PDF und Word DOCX) sowie das Bildmaterial können Sie herunterladen unter:</w:t>
      </w:r>
      <w:r>
        <w:br/>
      </w:r>
      <w:hyperlink r:id="rId11" w:history="1">
        <w:r w:rsidRPr="0082593C">
          <w:rPr>
            <w:rStyle w:val="Hyperlink"/>
          </w:rPr>
          <w:t>https://montenegro.deqom.com/neue-panoramastrassen-in-montenegro/</w:t>
        </w:r>
      </w:hyperlink>
      <w:r>
        <w:t xml:space="preserve"> </w:t>
      </w:r>
    </w:p>
    <w:p w14:paraId="7C6BFDA2" w14:textId="77777777" w:rsidR="00B57124" w:rsidRDefault="00B57124" w:rsidP="00B57124">
      <w:pPr>
        <w:pStyle w:val="Kleingedrucktes"/>
      </w:pPr>
      <w:r>
        <w:t>Beachten Sie auch die Presse</w:t>
      </w:r>
      <w:r w:rsidRPr="00EF7E42">
        <w:t>mitteilung</w:t>
      </w:r>
      <w:r>
        <w:t>en und Story-Ideen zu den anderen Panoramastraßen</w:t>
      </w:r>
      <w:r w:rsidRPr="00EF7E42">
        <w:t>:</w:t>
      </w:r>
      <w:r>
        <w:br/>
      </w:r>
      <w:hyperlink r:id="rId12" w:history="1">
        <w:r w:rsidRPr="0082593C">
          <w:rPr>
            <w:rStyle w:val="Hyperlink"/>
          </w:rPr>
          <w:t>https://montenegro.deqom.com/achtzig-kilometer-hochgefuehl/</w:t>
        </w:r>
      </w:hyperlink>
      <w:r>
        <w:t xml:space="preserve"> </w:t>
      </w:r>
      <w:r>
        <w:br/>
      </w:r>
      <w:hyperlink r:id="rId13" w:history="1">
        <w:r w:rsidRPr="0082593C">
          <w:rPr>
            <w:rStyle w:val="Hyperlink"/>
          </w:rPr>
          <w:t>https://montenegro.deqom.com/wo-die-goetter-schlafen/</w:t>
        </w:r>
      </w:hyperlink>
      <w:r>
        <w:t xml:space="preserve"> </w:t>
      </w:r>
      <w:r>
        <w:br/>
      </w:r>
      <w:hyperlink r:id="rId14" w:history="1">
        <w:r w:rsidRPr="0082593C">
          <w:rPr>
            <w:rStyle w:val="Hyperlink"/>
          </w:rPr>
          <w:t>https://montenegro.deqom.com/mit-dem-smartphone-auf-montenegros-panoramastrassen/</w:t>
        </w:r>
      </w:hyperlink>
      <w:r>
        <w:t xml:space="preserve"> </w:t>
      </w:r>
    </w:p>
    <w:p w14:paraId="412CB7E4" w14:textId="77777777" w:rsidR="00B57124" w:rsidRDefault="00B57124" w:rsidP="00600C45">
      <w:pPr>
        <w:pStyle w:val="berschrift3"/>
      </w:pPr>
    </w:p>
    <w:p w14:paraId="2D0C7074" w14:textId="2324430B" w:rsidR="00962694" w:rsidRPr="00EF7E42" w:rsidRDefault="00962694" w:rsidP="00600C45">
      <w:pPr>
        <w:pStyle w:val="berschrift3"/>
      </w:pPr>
      <w:r w:rsidRPr="00EF7E42">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5" w:history="1">
        <w:r w:rsidRPr="00EF7E42">
          <w:rPr>
            <w:rStyle w:val="Hyperlink"/>
            <w:sz w:val="18"/>
            <w:szCs w:val="18"/>
          </w:rPr>
          <w:t>andri.stanovic@montenegro.travel</w:t>
        </w:r>
      </w:hyperlink>
      <w:r w:rsidRPr="00EF7E42">
        <w:rPr>
          <w:sz w:val="18"/>
          <w:szCs w:val="18"/>
        </w:rPr>
        <w:br/>
        <w:t>Tel.: +382 (0) 77 10 00 23</w:t>
      </w:r>
    </w:p>
    <w:p w14:paraId="5BE0231A" w14:textId="77777777" w:rsidR="006C28CB" w:rsidRPr="00EF7E42" w:rsidRDefault="006C28CB" w:rsidP="00600C45">
      <w:pPr>
        <w:jc w:val="left"/>
        <w:rPr>
          <w:sz w:val="18"/>
          <w:szCs w:val="18"/>
        </w:rPr>
      </w:pP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6" w:history="1">
        <w:r w:rsidRPr="00EF7E42">
          <w:rPr>
            <w:rStyle w:val="Hyperlink"/>
            <w:b/>
            <w:sz w:val="18"/>
            <w:szCs w:val="18"/>
          </w:rPr>
          <w:t>http://mediaportal.montenegro.travel</w:t>
        </w:r>
      </w:hyperlink>
    </w:p>
    <w:p w14:paraId="7DFA0635" w14:textId="554F2D59" w:rsidR="00962694" w:rsidRPr="00EF7E42" w:rsidRDefault="00962694" w:rsidP="00962694">
      <w:pPr>
        <w:jc w:val="left"/>
        <w:rPr>
          <w:sz w:val="18"/>
          <w:szCs w:val="18"/>
        </w:rPr>
      </w:pPr>
    </w:p>
    <w:p w14:paraId="2722DF6B" w14:textId="0EB285F8" w:rsidR="00A11654" w:rsidRPr="00EF7E42" w:rsidRDefault="00A11654" w:rsidP="00962694">
      <w:pPr>
        <w:pStyle w:val="berschrift3"/>
      </w:pPr>
      <w:r w:rsidRPr="00EF7E42">
        <w:t>Montenegro in den sozialen Netzwerken</w:t>
      </w:r>
      <w:bookmarkEnd w:id="1"/>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8"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0"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2"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24"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6" w:history="1">
        <w:r w:rsidRPr="00EF7E42">
          <w:rPr>
            <w:rStyle w:val="Hyperlink"/>
            <w:sz w:val="18"/>
            <w:szCs w:val="18"/>
          </w:rPr>
          <w:t>www.pinterest.com/seemontenegro</w:t>
        </w:r>
      </w:hyperlink>
    </w:p>
    <w:p w14:paraId="387D877D" w14:textId="12BA6819" w:rsidR="00A11654" w:rsidRDefault="00A11654" w:rsidP="00A11654">
      <w:pPr>
        <w:rPr>
          <w:rStyle w:val="Hyperlink"/>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8" w:history="1">
        <w:r w:rsidRPr="00EF7E42">
          <w:rPr>
            <w:rStyle w:val="Hyperlink"/>
            <w:sz w:val="18"/>
            <w:szCs w:val="18"/>
          </w:rPr>
          <w:t>www.linkedin.com/in/montenegrotravel</w:t>
        </w:r>
      </w:hyperlink>
    </w:p>
    <w:p w14:paraId="14383398" w14:textId="77777777" w:rsidR="008E352F" w:rsidRPr="00EF7E42" w:rsidRDefault="008E352F" w:rsidP="00A11654">
      <w:pPr>
        <w:rPr>
          <w:sz w:val="18"/>
          <w:szCs w:val="18"/>
        </w:rPr>
      </w:pPr>
    </w:p>
    <w:p w14:paraId="36CF1DF2" w14:textId="77777777" w:rsidR="008E352F" w:rsidRPr="00EF7E42" w:rsidRDefault="008E352F" w:rsidP="008E352F">
      <w:pPr>
        <w:pStyle w:val="berschrift3"/>
      </w:pPr>
      <w:r w:rsidRPr="00EF7E42">
        <w:t>Über die Nationale Tourismusorganisation</w:t>
      </w:r>
    </w:p>
    <w:p w14:paraId="42BC9585" w14:textId="77777777" w:rsidR="008E352F" w:rsidRPr="00EF7E42" w:rsidRDefault="008E352F" w:rsidP="008E352F">
      <w:pPr>
        <w:pStyle w:val="Kleingedrucktes"/>
      </w:pPr>
      <w:r w:rsidRPr="00EF7E42">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57C0E987" w14:textId="77777777" w:rsidR="008E352F" w:rsidRPr="00EF7E42" w:rsidRDefault="008E352F" w:rsidP="008E352F">
      <w:pPr>
        <w:pStyle w:val="berschrift3"/>
      </w:pPr>
      <w:bookmarkStart w:id="2" w:name="_Toc507918020"/>
      <w:r w:rsidRPr="00EF7E42">
        <w:t>Über Montenegro</w:t>
      </w:r>
      <w:bookmarkEnd w:id="2"/>
    </w:p>
    <w:p w14:paraId="1ECBD48F" w14:textId="77777777" w:rsidR="008E352F" w:rsidRDefault="008E352F" w:rsidP="008E352F">
      <w:pPr>
        <w:pStyle w:val="Kleingedrucktes"/>
      </w:pPr>
      <w:r w:rsidRPr="009C0029">
        <w:t>Montenegro ist eine attraktive Urlaubsdestination mit hohem Wachstumspotenzial für nachhaltige touristische Projekte. Das Land investiert kontinuierlich in seine touristische Entwicklung, sowohl an der Küste als auch im attraktiven Norden. Laut Booking.com zählt es zu den 10 Top-Trend-Destinationen für 2020. Alleine aus Deutschland verzeichnete das Land weit über 100.000 Besucher im Jahr 2019. Die Besucherzahlen werden durch vielfältige Infrastrukturprojekte in den kommenden Jahren weiter ansteigen. Besonders die Vor- und Nachsaison erfreut sich dabei steigender Beliebtheit, gerade bei Gästen aus dem deutschsprachigen Ausland.</w:t>
      </w:r>
    </w:p>
    <w:p w14:paraId="1975270C" w14:textId="77777777" w:rsidR="00776D6C" w:rsidRPr="00776D6C" w:rsidRDefault="00776D6C" w:rsidP="00776D6C"/>
    <w:p w14:paraId="3E67BB52" w14:textId="77777777" w:rsidR="00776D6C" w:rsidRPr="00776D6C" w:rsidRDefault="00776D6C" w:rsidP="00776D6C"/>
    <w:tbl>
      <w:tblPr>
        <w:tblStyle w:val="Tabellenraster"/>
        <w:tblW w:w="0" w:type="auto"/>
        <w:tblLook w:val="04A0" w:firstRow="1" w:lastRow="0" w:firstColumn="1" w:lastColumn="0" w:noHBand="0" w:noVBand="1"/>
      </w:tblPr>
      <w:tblGrid>
        <w:gridCol w:w="9062"/>
      </w:tblGrid>
      <w:tr w:rsidR="00776D6C" w:rsidRPr="00447A63" w14:paraId="37A1AE64" w14:textId="77777777" w:rsidTr="000963B1">
        <w:tc>
          <w:tcPr>
            <w:tcW w:w="9062" w:type="dxa"/>
            <w:tcBorders>
              <w:top w:val="dotDotDash" w:sz="4" w:space="0" w:color="7F7F7F" w:themeColor="text1" w:themeTint="80"/>
              <w:left w:val="nil"/>
              <w:bottom w:val="nil"/>
              <w:right w:val="nil"/>
            </w:tcBorders>
          </w:tcPr>
          <w:p w14:paraId="2C8A08F7" w14:textId="77777777" w:rsidR="00776D6C" w:rsidRPr="00776D6C" w:rsidRDefault="00776D6C" w:rsidP="00776D6C">
            <w:pPr>
              <w:spacing w:line="276" w:lineRule="auto"/>
            </w:pPr>
          </w:p>
          <w:p w14:paraId="4686ACD8" w14:textId="77777777" w:rsidR="00776D6C" w:rsidRPr="00776D6C" w:rsidRDefault="00776D6C" w:rsidP="00776D6C">
            <w:pPr>
              <w:spacing w:line="276" w:lineRule="auto"/>
              <w:rPr>
                <w:lang w:val="en-US"/>
              </w:rPr>
            </w:pPr>
            <w:r w:rsidRPr="00776D6C">
              <w:rPr>
                <w:i/>
                <w:iCs/>
                <w:lang w:val="en-US"/>
              </w:rPr>
              <w:t>Powered by DEQOM Germany</w:t>
            </w:r>
            <w:r w:rsidRPr="00776D6C">
              <w:rPr>
                <w:lang w:val="en-US"/>
              </w:rPr>
              <w:t xml:space="preserve"> | </w:t>
            </w:r>
            <w:hyperlink r:id="rId29" w:history="1">
              <w:r w:rsidRPr="00776D6C">
                <w:rPr>
                  <w:rStyle w:val="Hyperlink"/>
                  <w:lang w:val="en-US"/>
                </w:rPr>
                <w:t>www.deqom.com</w:t>
              </w:r>
            </w:hyperlink>
          </w:p>
        </w:tc>
      </w:tr>
    </w:tbl>
    <w:p w14:paraId="2E6BF743" w14:textId="6200D6C4" w:rsidR="00A11654" w:rsidRPr="00776D6C" w:rsidRDefault="00A11654" w:rsidP="00776D6C">
      <w:pPr>
        <w:rPr>
          <w:lang w:val="en-US"/>
        </w:rPr>
      </w:pPr>
    </w:p>
    <w:sectPr w:rsidR="00A11654" w:rsidRPr="00776D6C" w:rsidSect="0037387D">
      <w:footerReference w:type="even" r:id="rId30"/>
      <w:footerReference w:type="default" r:id="rId31"/>
      <w:headerReference w:type="first" r:id="rId32"/>
      <w:footerReference w:type="first" r:id="rId33"/>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E7B2" w14:textId="77777777" w:rsidR="00B95EB8" w:rsidRDefault="00B95EB8" w:rsidP="000C2C0B">
      <w:r>
        <w:separator/>
      </w:r>
    </w:p>
  </w:endnote>
  <w:endnote w:type="continuationSeparator" w:id="0">
    <w:p w14:paraId="26573484" w14:textId="77777777" w:rsidR="00B95EB8" w:rsidRDefault="00B95EB8"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788DACDE" w:rsidR="001B0821" w:rsidRDefault="001B0821" w:rsidP="0037387D">
    <w:pPr>
      <w:pStyle w:val="Fuzeile"/>
      <w:ind w:right="360"/>
    </w:pP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1B83B5FB" w:rsidR="001B0821" w:rsidRPr="0037387D" w:rsidRDefault="001B0821" w:rsidP="0037387D">
    <w:pPr>
      <w:pStyle w:val="Fuzeile"/>
      <w:ind w:right="360"/>
      <w:rPr>
        <w:color w:val="7F7F7F" w:themeColor="text1" w:themeTint="80"/>
        <w:sz w:val="18"/>
        <w:szCs w:val="18"/>
      </w:rPr>
    </w:pP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62D3" w14:textId="77777777" w:rsidR="00B95EB8" w:rsidRDefault="00B95EB8" w:rsidP="000C2C0B">
      <w:r>
        <w:separator/>
      </w:r>
    </w:p>
  </w:footnote>
  <w:footnote w:type="continuationSeparator" w:id="0">
    <w:p w14:paraId="7E4B5222" w14:textId="77777777" w:rsidR="00B95EB8" w:rsidRDefault="00B95EB8"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3EC70F89"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rsidR="00F627E1" w:rsidRPr="008F14F7">
      <w:t>Ulica</w:t>
    </w:r>
    <w:proofErr w:type="spellEnd"/>
    <w:r w:rsidR="00F627E1" w:rsidRPr="008F14F7">
      <w:t xml:space="preserve"> </w:t>
    </w:r>
    <w:proofErr w:type="spellStart"/>
    <w:r w:rsidR="00F627E1" w:rsidRPr="008F14F7">
      <w:t>Slobode</w:t>
    </w:r>
    <w:proofErr w:type="spellEnd"/>
    <w:r w:rsidR="00F627E1" w:rsidRPr="008F14F7">
      <w:t xml:space="preserve"> 2</w:t>
    </w:r>
    <w:r>
      <w:br/>
    </w:r>
    <w:r w:rsidRPr="00447A63">
      <w:t>81000 Podgorica, Montenegro</w:t>
    </w:r>
  </w:p>
  <w:p w14:paraId="25C2B4D9" w14:textId="4560F024" w:rsidR="001B0821" w:rsidRDefault="001B0821" w:rsidP="00A1798D">
    <w:pPr>
      <w:pStyle w:val="StandardHeader"/>
      <w:rPr>
        <w:lang w:val="it-IT"/>
      </w:rPr>
    </w:pPr>
    <w:r w:rsidRPr="00D4284C">
      <w:rPr>
        <w:lang w:val="it-IT"/>
      </w:rPr>
      <w:t xml:space="preserve">Tel.: +382 </w:t>
    </w:r>
    <w:r>
      <w:rPr>
        <w:lang w:val="it-IT"/>
      </w:rPr>
      <w:t>77 000 001</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42.3pt;height:42.3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C62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EE71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0456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881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D079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2A6A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3CDA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C830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C4A3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CAE6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209B"/>
    <w:rsid w:val="000273BB"/>
    <w:rsid w:val="000312A4"/>
    <w:rsid w:val="00032A6F"/>
    <w:rsid w:val="000575F4"/>
    <w:rsid w:val="00062065"/>
    <w:rsid w:val="000703ED"/>
    <w:rsid w:val="00070CC8"/>
    <w:rsid w:val="00082C8C"/>
    <w:rsid w:val="00085A47"/>
    <w:rsid w:val="00094D27"/>
    <w:rsid w:val="000A3156"/>
    <w:rsid w:val="000B05D6"/>
    <w:rsid w:val="000B30B1"/>
    <w:rsid w:val="000B4CCF"/>
    <w:rsid w:val="000C2C0B"/>
    <w:rsid w:val="000C7614"/>
    <w:rsid w:val="000D50D5"/>
    <w:rsid w:val="000D5198"/>
    <w:rsid w:val="000E1958"/>
    <w:rsid w:val="000E3349"/>
    <w:rsid w:val="000E3636"/>
    <w:rsid w:val="000F0A1E"/>
    <w:rsid w:val="000F33DA"/>
    <w:rsid w:val="001116AC"/>
    <w:rsid w:val="001130A9"/>
    <w:rsid w:val="0013104E"/>
    <w:rsid w:val="00131B6E"/>
    <w:rsid w:val="0013465F"/>
    <w:rsid w:val="00137038"/>
    <w:rsid w:val="00146714"/>
    <w:rsid w:val="00173BA2"/>
    <w:rsid w:val="001815D5"/>
    <w:rsid w:val="00190F7C"/>
    <w:rsid w:val="001924D5"/>
    <w:rsid w:val="001A636B"/>
    <w:rsid w:val="001B0821"/>
    <w:rsid w:val="001C31CB"/>
    <w:rsid w:val="001D4088"/>
    <w:rsid w:val="001D4B81"/>
    <w:rsid w:val="001E3F25"/>
    <w:rsid w:val="001F4828"/>
    <w:rsid w:val="001F5500"/>
    <w:rsid w:val="001F6F64"/>
    <w:rsid w:val="00202E25"/>
    <w:rsid w:val="00204CAF"/>
    <w:rsid w:val="00211A6A"/>
    <w:rsid w:val="00211BC6"/>
    <w:rsid w:val="00215A84"/>
    <w:rsid w:val="00224E36"/>
    <w:rsid w:val="00234A10"/>
    <w:rsid w:val="00235F5B"/>
    <w:rsid w:val="00237CF3"/>
    <w:rsid w:val="00252626"/>
    <w:rsid w:val="0025412C"/>
    <w:rsid w:val="00254A8B"/>
    <w:rsid w:val="00254D33"/>
    <w:rsid w:val="0026392E"/>
    <w:rsid w:val="00271311"/>
    <w:rsid w:val="002A35FD"/>
    <w:rsid w:val="002A4B25"/>
    <w:rsid w:val="002A721C"/>
    <w:rsid w:val="002A79E5"/>
    <w:rsid w:val="002B62CC"/>
    <w:rsid w:val="002B658A"/>
    <w:rsid w:val="002B6E58"/>
    <w:rsid w:val="002D6D2E"/>
    <w:rsid w:val="002E3CF8"/>
    <w:rsid w:val="002F36D2"/>
    <w:rsid w:val="002F79F9"/>
    <w:rsid w:val="003015D7"/>
    <w:rsid w:val="003031CF"/>
    <w:rsid w:val="00306345"/>
    <w:rsid w:val="003076D0"/>
    <w:rsid w:val="003141F3"/>
    <w:rsid w:val="00325A1D"/>
    <w:rsid w:val="003277D7"/>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340"/>
    <w:rsid w:val="003B4772"/>
    <w:rsid w:val="003B5F2F"/>
    <w:rsid w:val="003C561E"/>
    <w:rsid w:val="003C762A"/>
    <w:rsid w:val="003D08A1"/>
    <w:rsid w:val="003D1B90"/>
    <w:rsid w:val="003D229E"/>
    <w:rsid w:val="003E37FC"/>
    <w:rsid w:val="003E706E"/>
    <w:rsid w:val="003F093B"/>
    <w:rsid w:val="003F17BC"/>
    <w:rsid w:val="003F18A7"/>
    <w:rsid w:val="003F6FE2"/>
    <w:rsid w:val="004054CD"/>
    <w:rsid w:val="0041032A"/>
    <w:rsid w:val="004138D3"/>
    <w:rsid w:val="00415870"/>
    <w:rsid w:val="00423268"/>
    <w:rsid w:val="00424F1D"/>
    <w:rsid w:val="004313B1"/>
    <w:rsid w:val="004344E3"/>
    <w:rsid w:val="00447A63"/>
    <w:rsid w:val="004511F3"/>
    <w:rsid w:val="0046143C"/>
    <w:rsid w:val="0047063D"/>
    <w:rsid w:val="00475633"/>
    <w:rsid w:val="004877EB"/>
    <w:rsid w:val="0049008C"/>
    <w:rsid w:val="00493C02"/>
    <w:rsid w:val="00495739"/>
    <w:rsid w:val="004A307A"/>
    <w:rsid w:val="004B481B"/>
    <w:rsid w:val="004C396C"/>
    <w:rsid w:val="004C5A13"/>
    <w:rsid w:val="004D66A1"/>
    <w:rsid w:val="004E3B2D"/>
    <w:rsid w:val="004E4A00"/>
    <w:rsid w:val="004F0447"/>
    <w:rsid w:val="004F12E8"/>
    <w:rsid w:val="0050503E"/>
    <w:rsid w:val="0051114C"/>
    <w:rsid w:val="00516B2E"/>
    <w:rsid w:val="00516D40"/>
    <w:rsid w:val="00535984"/>
    <w:rsid w:val="00542A1D"/>
    <w:rsid w:val="00543512"/>
    <w:rsid w:val="00550859"/>
    <w:rsid w:val="0055796B"/>
    <w:rsid w:val="005617D6"/>
    <w:rsid w:val="00563AB5"/>
    <w:rsid w:val="00565FAD"/>
    <w:rsid w:val="005679F2"/>
    <w:rsid w:val="00580590"/>
    <w:rsid w:val="00587230"/>
    <w:rsid w:val="005904B1"/>
    <w:rsid w:val="00591D5B"/>
    <w:rsid w:val="00593A0B"/>
    <w:rsid w:val="005A07A3"/>
    <w:rsid w:val="005A51EE"/>
    <w:rsid w:val="005B0966"/>
    <w:rsid w:val="005B224B"/>
    <w:rsid w:val="005B7B4D"/>
    <w:rsid w:val="005E062D"/>
    <w:rsid w:val="00600C45"/>
    <w:rsid w:val="00601000"/>
    <w:rsid w:val="006014C8"/>
    <w:rsid w:val="006045AA"/>
    <w:rsid w:val="006052F0"/>
    <w:rsid w:val="00607145"/>
    <w:rsid w:val="00617C4D"/>
    <w:rsid w:val="00621C4D"/>
    <w:rsid w:val="00622245"/>
    <w:rsid w:val="00625000"/>
    <w:rsid w:val="0062614D"/>
    <w:rsid w:val="006501ED"/>
    <w:rsid w:val="006506CB"/>
    <w:rsid w:val="00651D00"/>
    <w:rsid w:val="00651E23"/>
    <w:rsid w:val="00654AA4"/>
    <w:rsid w:val="00656D5F"/>
    <w:rsid w:val="006708AD"/>
    <w:rsid w:val="00677FCC"/>
    <w:rsid w:val="00681D04"/>
    <w:rsid w:val="00687C16"/>
    <w:rsid w:val="006947AB"/>
    <w:rsid w:val="006A4CFA"/>
    <w:rsid w:val="006B6B6B"/>
    <w:rsid w:val="006C1151"/>
    <w:rsid w:val="006C28CB"/>
    <w:rsid w:val="006C387F"/>
    <w:rsid w:val="006C4144"/>
    <w:rsid w:val="006D115E"/>
    <w:rsid w:val="006D4857"/>
    <w:rsid w:val="006D7C64"/>
    <w:rsid w:val="006F32C5"/>
    <w:rsid w:val="006F53E3"/>
    <w:rsid w:val="0070119B"/>
    <w:rsid w:val="007022CA"/>
    <w:rsid w:val="00702C8A"/>
    <w:rsid w:val="00704DC6"/>
    <w:rsid w:val="007057A8"/>
    <w:rsid w:val="0071379C"/>
    <w:rsid w:val="00721D6F"/>
    <w:rsid w:val="00725DC6"/>
    <w:rsid w:val="00730A4A"/>
    <w:rsid w:val="007326B0"/>
    <w:rsid w:val="00734023"/>
    <w:rsid w:val="00743A63"/>
    <w:rsid w:val="007562AD"/>
    <w:rsid w:val="0075717A"/>
    <w:rsid w:val="00763A18"/>
    <w:rsid w:val="007756BB"/>
    <w:rsid w:val="00776D6C"/>
    <w:rsid w:val="00777BDF"/>
    <w:rsid w:val="00796468"/>
    <w:rsid w:val="007A2B44"/>
    <w:rsid w:val="007C6799"/>
    <w:rsid w:val="007D2CEA"/>
    <w:rsid w:val="007D53AA"/>
    <w:rsid w:val="007E29C0"/>
    <w:rsid w:val="007E2A8C"/>
    <w:rsid w:val="007E3122"/>
    <w:rsid w:val="007F006E"/>
    <w:rsid w:val="007F00C5"/>
    <w:rsid w:val="007F5A53"/>
    <w:rsid w:val="007F6E6A"/>
    <w:rsid w:val="00803FA8"/>
    <w:rsid w:val="00815DE5"/>
    <w:rsid w:val="0081695F"/>
    <w:rsid w:val="00841F7E"/>
    <w:rsid w:val="00845754"/>
    <w:rsid w:val="008569CB"/>
    <w:rsid w:val="008579AC"/>
    <w:rsid w:val="00861D6D"/>
    <w:rsid w:val="008704DB"/>
    <w:rsid w:val="00882898"/>
    <w:rsid w:val="00892C43"/>
    <w:rsid w:val="008C0F22"/>
    <w:rsid w:val="008C5B64"/>
    <w:rsid w:val="008E352F"/>
    <w:rsid w:val="008E6B11"/>
    <w:rsid w:val="008F25ED"/>
    <w:rsid w:val="008F30F0"/>
    <w:rsid w:val="008F7F21"/>
    <w:rsid w:val="009042F6"/>
    <w:rsid w:val="009064FB"/>
    <w:rsid w:val="0091666B"/>
    <w:rsid w:val="009167C3"/>
    <w:rsid w:val="00921900"/>
    <w:rsid w:val="00922759"/>
    <w:rsid w:val="0092751C"/>
    <w:rsid w:val="00927E3A"/>
    <w:rsid w:val="0094311F"/>
    <w:rsid w:val="00952780"/>
    <w:rsid w:val="00953EB0"/>
    <w:rsid w:val="009550CD"/>
    <w:rsid w:val="00956206"/>
    <w:rsid w:val="00962694"/>
    <w:rsid w:val="00976F90"/>
    <w:rsid w:val="0097740D"/>
    <w:rsid w:val="00982F41"/>
    <w:rsid w:val="009836D3"/>
    <w:rsid w:val="00984568"/>
    <w:rsid w:val="00985D59"/>
    <w:rsid w:val="00986931"/>
    <w:rsid w:val="00996E6A"/>
    <w:rsid w:val="009A641F"/>
    <w:rsid w:val="009A7D29"/>
    <w:rsid w:val="009B05E9"/>
    <w:rsid w:val="009B18D7"/>
    <w:rsid w:val="009B7198"/>
    <w:rsid w:val="009C2152"/>
    <w:rsid w:val="009D337B"/>
    <w:rsid w:val="009E3830"/>
    <w:rsid w:val="00A11654"/>
    <w:rsid w:val="00A12019"/>
    <w:rsid w:val="00A1798D"/>
    <w:rsid w:val="00A26D16"/>
    <w:rsid w:val="00A3274C"/>
    <w:rsid w:val="00A33A3D"/>
    <w:rsid w:val="00A3581B"/>
    <w:rsid w:val="00A41BD9"/>
    <w:rsid w:val="00A564EC"/>
    <w:rsid w:val="00A57FD1"/>
    <w:rsid w:val="00A644DA"/>
    <w:rsid w:val="00A73784"/>
    <w:rsid w:val="00A85C6F"/>
    <w:rsid w:val="00A90A1D"/>
    <w:rsid w:val="00A965C0"/>
    <w:rsid w:val="00AB1EB0"/>
    <w:rsid w:val="00AB4412"/>
    <w:rsid w:val="00AC45C4"/>
    <w:rsid w:val="00AC5062"/>
    <w:rsid w:val="00AD03C8"/>
    <w:rsid w:val="00AD0AB9"/>
    <w:rsid w:val="00AD6E2A"/>
    <w:rsid w:val="00AE1A8C"/>
    <w:rsid w:val="00AE4969"/>
    <w:rsid w:val="00AF03C1"/>
    <w:rsid w:val="00AF1B00"/>
    <w:rsid w:val="00AF2498"/>
    <w:rsid w:val="00B02401"/>
    <w:rsid w:val="00B13065"/>
    <w:rsid w:val="00B15A17"/>
    <w:rsid w:val="00B219EB"/>
    <w:rsid w:val="00B22488"/>
    <w:rsid w:val="00B22C60"/>
    <w:rsid w:val="00B40954"/>
    <w:rsid w:val="00B44F6C"/>
    <w:rsid w:val="00B534F9"/>
    <w:rsid w:val="00B57124"/>
    <w:rsid w:val="00B602D7"/>
    <w:rsid w:val="00B609A3"/>
    <w:rsid w:val="00B63E24"/>
    <w:rsid w:val="00B82E0C"/>
    <w:rsid w:val="00B84444"/>
    <w:rsid w:val="00B85D37"/>
    <w:rsid w:val="00B90C9A"/>
    <w:rsid w:val="00B91FC4"/>
    <w:rsid w:val="00B95EB8"/>
    <w:rsid w:val="00BC3F33"/>
    <w:rsid w:val="00BC7318"/>
    <w:rsid w:val="00BD487F"/>
    <w:rsid w:val="00BE7DFC"/>
    <w:rsid w:val="00BF0466"/>
    <w:rsid w:val="00BF6E1E"/>
    <w:rsid w:val="00C321FF"/>
    <w:rsid w:val="00C359A4"/>
    <w:rsid w:val="00C3744D"/>
    <w:rsid w:val="00C420AF"/>
    <w:rsid w:val="00C65E36"/>
    <w:rsid w:val="00C675ED"/>
    <w:rsid w:val="00C760A0"/>
    <w:rsid w:val="00C84996"/>
    <w:rsid w:val="00C86E69"/>
    <w:rsid w:val="00C941B4"/>
    <w:rsid w:val="00C9663B"/>
    <w:rsid w:val="00CA29ED"/>
    <w:rsid w:val="00CA2C07"/>
    <w:rsid w:val="00CA7161"/>
    <w:rsid w:val="00CA7EC9"/>
    <w:rsid w:val="00CE365C"/>
    <w:rsid w:val="00CE54E7"/>
    <w:rsid w:val="00CE5BE3"/>
    <w:rsid w:val="00CF3FED"/>
    <w:rsid w:val="00D071A9"/>
    <w:rsid w:val="00D073B4"/>
    <w:rsid w:val="00D3551D"/>
    <w:rsid w:val="00D35B1B"/>
    <w:rsid w:val="00D37D00"/>
    <w:rsid w:val="00D465DB"/>
    <w:rsid w:val="00D5167B"/>
    <w:rsid w:val="00D604A7"/>
    <w:rsid w:val="00D63254"/>
    <w:rsid w:val="00D6413C"/>
    <w:rsid w:val="00D746F4"/>
    <w:rsid w:val="00D8318D"/>
    <w:rsid w:val="00D85C89"/>
    <w:rsid w:val="00D960E1"/>
    <w:rsid w:val="00DA51E7"/>
    <w:rsid w:val="00DB1BF3"/>
    <w:rsid w:val="00DC6AAF"/>
    <w:rsid w:val="00DF772F"/>
    <w:rsid w:val="00E00930"/>
    <w:rsid w:val="00E0310F"/>
    <w:rsid w:val="00E04777"/>
    <w:rsid w:val="00E048D6"/>
    <w:rsid w:val="00E14B76"/>
    <w:rsid w:val="00E20A16"/>
    <w:rsid w:val="00E361C9"/>
    <w:rsid w:val="00E45997"/>
    <w:rsid w:val="00E50409"/>
    <w:rsid w:val="00E51C3F"/>
    <w:rsid w:val="00E5276C"/>
    <w:rsid w:val="00E5757F"/>
    <w:rsid w:val="00E66B18"/>
    <w:rsid w:val="00E671F9"/>
    <w:rsid w:val="00E813C7"/>
    <w:rsid w:val="00E90AEA"/>
    <w:rsid w:val="00E97EAF"/>
    <w:rsid w:val="00EA5D7E"/>
    <w:rsid w:val="00EB5E88"/>
    <w:rsid w:val="00EC257E"/>
    <w:rsid w:val="00EC59B4"/>
    <w:rsid w:val="00ED0417"/>
    <w:rsid w:val="00ED1E5E"/>
    <w:rsid w:val="00ED3494"/>
    <w:rsid w:val="00EF44A7"/>
    <w:rsid w:val="00EF7E42"/>
    <w:rsid w:val="00F16D3F"/>
    <w:rsid w:val="00F17861"/>
    <w:rsid w:val="00F25A38"/>
    <w:rsid w:val="00F302BC"/>
    <w:rsid w:val="00F31E29"/>
    <w:rsid w:val="00F34F89"/>
    <w:rsid w:val="00F445A1"/>
    <w:rsid w:val="00F56EF4"/>
    <w:rsid w:val="00F5771C"/>
    <w:rsid w:val="00F57A13"/>
    <w:rsid w:val="00F627E1"/>
    <w:rsid w:val="00F646A9"/>
    <w:rsid w:val="00F67928"/>
    <w:rsid w:val="00F70286"/>
    <w:rsid w:val="00F72016"/>
    <w:rsid w:val="00F753D3"/>
    <w:rsid w:val="00F76948"/>
    <w:rsid w:val="00F82B89"/>
    <w:rsid w:val="00F949A5"/>
    <w:rsid w:val="00FA05AA"/>
    <w:rsid w:val="00FA11A4"/>
    <w:rsid w:val="00FA1E83"/>
    <w:rsid w:val="00FA6F88"/>
    <w:rsid w:val="00FC1802"/>
    <w:rsid w:val="00FD5463"/>
    <w:rsid w:val="00FE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Text"/>
    <w:qFormat/>
    <w:rsid w:val="00600C45"/>
    <w:rPr>
      <w:b/>
    </w:rPr>
  </w:style>
  <w:style w:type="paragraph" w:customStyle="1" w:styleId="Standard-Text">
    <w:name w:val="Standard - Text"/>
    <w:basedOn w:val="Standard"/>
    <w:qFormat/>
    <w:rsid w:val="00730A4A"/>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44333367">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17756968">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582374657">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677393258">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4815455">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7013982">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56448113">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792045329">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89284057">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24548993">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tenegro.deqom.com/wo-die-goetter-schlafen/" TargetMode="External"/><Relationship Id="rId18" Type="http://schemas.openxmlformats.org/officeDocument/2006/relationships/hyperlink" Target="https://www.facebook.com/See.Montenegro" TargetMode="External"/><Relationship Id="rId26" Type="http://schemas.openxmlformats.org/officeDocument/2006/relationships/hyperlink" Target="http://www.pinterest.com/seemontenegro"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tenegro.deqom.com/achtzig-kilometer-hochgefuehl/"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ediaportal.montenegro.travel" TargetMode="External"/><Relationship Id="rId20" Type="http://schemas.openxmlformats.org/officeDocument/2006/relationships/hyperlink" Target="https://www.instagram.com/gomontenegro" TargetMode="External"/><Relationship Id="rId29" Type="http://schemas.openxmlformats.org/officeDocument/2006/relationships/hyperlink" Target="http://www.deq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enegro.deqom.com/neue-panoramastrassen-in-montenegro/" TargetMode="External"/><Relationship Id="rId24" Type="http://schemas.openxmlformats.org/officeDocument/2006/relationships/hyperlink" Target="http://www.youtube.com/Montenegr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dri.stanovic@montenegro.travel" TargetMode="External"/><Relationship Id="rId23" Type="http://schemas.openxmlformats.org/officeDocument/2006/relationships/image" Target="media/image7.png"/><Relationship Id="rId28" Type="http://schemas.openxmlformats.org/officeDocument/2006/relationships/hyperlink" Target="http://www.linkedin.com/in/montenegrotravel" TargetMode="External"/><Relationship Id="rId10" Type="http://schemas.openxmlformats.org/officeDocument/2006/relationships/hyperlink" Target="http://www.panoramastrassen.montenegro.travel" TargetMode="Externa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montenegro.deqom.com/mit-dem-smartphone-auf-montenegros-panoramastrassen/" TargetMode="External"/><Relationship Id="rId22" Type="http://schemas.openxmlformats.org/officeDocument/2006/relationships/hyperlink" Target="https://www.twitter.com/SeeMontenegro" TargetMode="External"/><Relationship Id="rId27" Type="http://schemas.openxmlformats.org/officeDocument/2006/relationships/image" Target="media/image9.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9ADA-2EC9-FC44-BCF7-321B8AF2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8505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10</cp:revision>
  <cp:lastPrinted>2019-12-27T11:10:00Z</cp:lastPrinted>
  <dcterms:created xsi:type="dcterms:W3CDTF">2019-12-21T14:57:00Z</dcterms:created>
  <dcterms:modified xsi:type="dcterms:W3CDTF">2019-12-27T11:11:00Z</dcterms:modified>
  <cp:category/>
</cp:coreProperties>
</file>